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C9" w:rsidRDefault="00D35CC9" w:rsidP="00672313">
      <w:pPr>
        <w:rPr>
          <w:rFonts w:ascii="Arial" w:hAnsi="Arial"/>
          <w:b/>
          <w:sz w:val="16"/>
          <w:szCs w:val="16"/>
        </w:rPr>
      </w:pPr>
    </w:p>
    <w:p w:rsidR="005D5197" w:rsidRDefault="005D5197" w:rsidP="00672313">
      <w:pPr>
        <w:rPr>
          <w:rFonts w:ascii="Arial" w:hAnsi="Arial"/>
          <w:b/>
          <w:sz w:val="16"/>
          <w:szCs w:val="16"/>
        </w:rPr>
      </w:pPr>
    </w:p>
    <w:tbl>
      <w:tblPr>
        <w:tblW w:w="109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0"/>
        <w:gridCol w:w="7488"/>
      </w:tblGrid>
      <w:tr w:rsidR="005D5197" w:rsidRPr="002F3EDF">
        <w:tc>
          <w:tcPr>
            <w:tcW w:w="3490" w:type="dxa"/>
          </w:tcPr>
          <w:p w:rsidR="005D5197" w:rsidRPr="0029284C" w:rsidRDefault="005D5197" w:rsidP="00355397">
            <w:pPr>
              <w:jc w:val="both"/>
              <w:rPr>
                <w:rFonts w:ascii="Arial" w:hAnsi="Arial"/>
                <w:b/>
                <w:sz w:val="16"/>
                <w:szCs w:val="16"/>
              </w:rPr>
            </w:pPr>
            <w:r w:rsidRPr="0029284C">
              <w:rPr>
                <w:rFonts w:ascii="Arial" w:hAnsi="Arial"/>
                <w:b/>
                <w:sz w:val="16"/>
                <w:szCs w:val="16"/>
              </w:rPr>
              <w:t>Arancio – Alimentazione e scarti alimentari</w:t>
            </w:r>
          </w:p>
          <w:p w:rsidR="005D5197" w:rsidRPr="004E2D99" w:rsidRDefault="005D5197" w:rsidP="00355397">
            <w:pPr>
              <w:jc w:val="both"/>
              <w:rPr>
                <w:rFonts w:ascii="Arial" w:hAnsi="Arial"/>
                <w:sz w:val="16"/>
                <w:szCs w:val="16"/>
              </w:rPr>
            </w:pPr>
            <w:r w:rsidRPr="004E2D99">
              <w:rPr>
                <w:rFonts w:ascii="Arial" w:hAnsi="Arial"/>
                <w:sz w:val="16"/>
                <w:szCs w:val="16"/>
              </w:rPr>
              <w:t>L’alimentazione e gli scarti alimentari rappresentano l’indicatore dell’efficienza della produzione agricola di una Fattoria. Gli anelli della filiera agroalimentare sono valutati rispetto al rapporto produzione consumo. Altro elemento di misura è rappresentato dalla diversità culturale del consumo.</w:t>
            </w:r>
          </w:p>
          <w:p w:rsidR="005D5197" w:rsidRDefault="005D5197" w:rsidP="00355397">
            <w:pPr>
              <w:jc w:val="both"/>
              <w:rPr>
                <w:rFonts w:ascii="Arial" w:hAnsi="Arial"/>
                <w:sz w:val="16"/>
                <w:szCs w:val="16"/>
              </w:rPr>
            </w:pPr>
          </w:p>
          <w:p w:rsidR="005D5197" w:rsidRPr="0029284C" w:rsidRDefault="005D5197" w:rsidP="0002728A">
            <w:pPr>
              <w:rPr>
                <w:rFonts w:ascii="Arial" w:hAnsi="Arial"/>
                <w:sz w:val="16"/>
                <w:szCs w:val="16"/>
              </w:rPr>
            </w:pPr>
            <w:r w:rsidRPr="0029284C">
              <w:rPr>
                <w:rFonts w:ascii="Arial" w:hAnsi="Arial"/>
                <w:sz w:val="16"/>
                <w:szCs w:val="16"/>
              </w:rPr>
              <w:t>1. Pianificazione delle produzioni e fabbisogno alimentare</w:t>
            </w:r>
          </w:p>
          <w:p w:rsidR="005D5197" w:rsidRPr="0029284C" w:rsidRDefault="005D5197" w:rsidP="0002728A">
            <w:pPr>
              <w:rPr>
                <w:rFonts w:ascii="Arial" w:hAnsi="Arial"/>
                <w:b/>
                <w:color w:val="FF0000"/>
                <w:sz w:val="16"/>
                <w:szCs w:val="16"/>
              </w:rPr>
            </w:pPr>
            <w:r w:rsidRPr="0029284C">
              <w:rPr>
                <w:rFonts w:ascii="Arial" w:hAnsi="Arial"/>
                <w:b/>
                <w:color w:val="FF0000"/>
                <w:sz w:val="16"/>
                <w:szCs w:val="16"/>
              </w:rPr>
              <w:t>2. Scarti ed energia</w:t>
            </w:r>
          </w:p>
          <w:p w:rsidR="005D5197" w:rsidRPr="0029284C" w:rsidRDefault="005D5197" w:rsidP="0002728A">
            <w:pPr>
              <w:rPr>
                <w:rFonts w:ascii="Arial" w:hAnsi="Arial"/>
                <w:sz w:val="16"/>
                <w:szCs w:val="16"/>
              </w:rPr>
            </w:pPr>
            <w:r w:rsidRPr="0029284C">
              <w:rPr>
                <w:rFonts w:ascii="Arial" w:hAnsi="Arial"/>
                <w:sz w:val="16"/>
                <w:szCs w:val="16"/>
              </w:rPr>
              <w:t>3. Brand culturale del cibo</w:t>
            </w:r>
          </w:p>
          <w:p w:rsidR="005D5197" w:rsidRPr="0029284C" w:rsidRDefault="005D5197" w:rsidP="0002728A">
            <w:pPr>
              <w:rPr>
                <w:rFonts w:ascii="Arial" w:hAnsi="Arial"/>
                <w:sz w:val="16"/>
                <w:szCs w:val="16"/>
              </w:rPr>
            </w:pPr>
            <w:r w:rsidRPr="0029284C">
              <w:rPr>
                <w:rFonts w:ascii="Arial" w:hAnsi="Arial"/>
                <w:sz w:val="16"/>
                <w:szCs w:val="16"/>
              </w:rPr>
              <w:t>4. Qualità del cibo e filiere di produzione: metodi a confronto</w:t>
            </w:r>
          </w:p>
          <w:p w:rsidR="005D5197" w:rsidRPr="0029284C" w:rsidRDefault="005D5197" w:rsidP="0002728A">
            <w:pPr>
              <w:rPr>
                <w:rFonts w:ascii="Arial" w:hAnsi="Arial"/>
                <w:sz w:val="16"/>
                <w:szCs w:val="16"/>
              </w:rPr>
            </w:pPr>
            <w:r w:rsidRPr="0029284C">
              <w:rPr>
                <w:rFonts w:ascii="Arial" w:hAnsi="Arial"/>
                <w:sz w:val="16"/>
                <w:szCs w:val="16"/>
              </w:rPr>
              <w:t>5. I flussi di produzione alimentare e lo sviluppo sociale</w:t>
            </w:r>
            <w:r w:rsidRPr="0029284C">
              <w:rPr>
                <w:rFonts w:ascii="Arial" w:hAnsi="Arial"/>
                <w:sz w:val="16"/>
                <w:szCs w:val="16"/>
              </w:rPr>
              <w:br/>
              <w:t>6. I nuovi consumatori ed cambiamenti della produzione agricola</w:t>
            </w:r>
          </w:p>
          <w:p w:rsidR="005D5197" w:rsidRPr="0029284C" w:rsidRDefault="005D5197" w:rsidP="0002728A">
            <w:pPr>
              <w:rPr>
                <w:rFonts w:ascii="Arial" w:hAnsi="Arial"/>
                <w:sz w:val="16"/>
                <w:szCs w:val="16"/>
              </w:rPr>
            </w:pPr>
            <w:r w:rsidRPr="0029284C">
              <w:rPr>
                <w:rFonts w:ascii="Arial" w:hAnsi="Arial"/>
                <w:sz w:val="16"/>
                <w:szCs w:val="16"/>
              </w:rPr>
              <w:t>7. La progettazione del cibo</w:t>
            </w:r>
          </w:p>
          <w:p w:rsidR="005D5197" w:rsidRPr="0029284C" w:rsidRDefault="005D5197" w:rsidP="0002728A">
            <w:pPr>
              <w:rPr>
                <w:rFonts w:ascii="Arial" w:hAnsi="Arial"/>
                <w:sz w:val="16"/>
                <w:szCs w:val="16"/>
              </w:rPr>
            </w:pPr>
            <w:r w:rsidRPr="0029284C">
              <w:rPr>
                <w:rFonts w:ascii="Arial" w:hAnsi="Arial"/>
                <w:sz w:val="16"/>
                <w:szCs w:val="16"/>
              </w:rPr>
              <w:t>8. La produzione di cibo in foresta</w:t>
            </w:r>
          </w:p>
          <w:p w:rsidR="005D5197" w:rsidRPr="0029284C" w:rsidRDefault="005D5197" w:rsidP="00355397">
            <w:pPr>
              <w:jc w:val="both"/>
              <w:rPr>
                <w:rFonts w:ascii="Arial" w:hAnsi="Arial"/>
                <w:sz w:val="16"/>
                <w:szCs w:val="16"/>
              </w:rPr>
            </w:pPr>
          </w:p>
        </w:tc>
        <w:tc>
          <w:tcPr>
            <w:tcW w:w="7488" w:type="dxa"/>
          </w:tcPr>
          <w:p w:rsidR="005D5197" w:rsidRDefault="005D5197" w:rsidP="00355397">
            <w:pPr>
              <w:autoSpaceDE w:val="0"/>
              <w:autoSpaceDN w:val="0"/>
              <w:adjustRightInd w:val="0"/>
              <w:jc w:val="both"/>
              <w:rPr>
                <w:rFonts w:ascii="Arial" w:hAnsi="Arial" w:cs="Arial"/>
                <w:szCs w:val="19"/>
              </w:rPr>
            </w:pPr>
            <w:r w:rsidRPr="002F3EDF">
              <w:rPr>
                <w:rFonts w:ascii="Arial" w:hAnsi="Arial" w:cs="Arial"/>
                <w:szCs w:val="19"/>
              </w:rPr>
              <w:t xml:space="preserve">TITOLO: </w:t>
            </w:r>
            <w:r w:rsidR="00545535">
              <w:rPr>
                <w:rFonts w:ascii="Arial" w:hAnsi="Arial" w:cs="Arial"/>
                <w:bCs/>
                <w:color w:val="008000"/>
                <w:sz w:val="20"/>
                <w:szCs w:val="20"/>
              </w:rPr>
              <w:t>MBGC, D</w:t>
            </w:r>
            <w:r w:rsidRPr="006F56B0">
              <w:rPr>
                <w:rFonts w:ascii="Arial" w:hAnsi="Arial" w:cs="Arial"/>
                <w:bCs/>
                <w:color w:val="008000"/>
                <w:sz w:val="20"/>
                <w:szCs w:val="20"/>
              </w:rPr>
              <w:t xml:space="preserve">igestione Anaerobica e Coltivazioni Algali </w:t>
            </w:r>
            <w:r w:rsidRPr="006F56B0">
              <w:rPr>
                <w:rFonts w:ascii="Arial" w:hAnsi="Arial" w:cs="Arial"/>
                <w:bCs/>
                <w:color w:val="008000"/>
                <w:sz w:val="20"/>
                <w:szCs w:val="20"/>
                <w:u w:val="single"/>
              </w:rPr>
              <w:t>distribuite</w:t>
            </w:r>
            <w:r w:rsidRPr="006F56B0">
              <w:rPr>
                <w:rFonts w:ascii="Arial" w:hAnsi="Arial" w:cs="Arial"/>
                <w:bCs/>
                <w:color w:val="008000"/>
                <w:sz w:val="20"/>
                <w:szCs w:val="20"/>
              </w:rPr>
              <w:t>: soluzione virtuosa e redditizia (retrofit per parchi eolici</w:t>
            </w:r>
            <w:r w:rsidR="008E163F">
              <w:rPr>
                <w:rFonts w:ascii="Arial" w:hAnsi="Arial" w:cs="Arial"/>
                <w:bCs/>
                <w:color w:val="008000"/>
                <w:sz w:val="20"/>
                <w:szCs w:val="20"/>
              </w:rPr>
              <w:t xml:space="preserve"> e fo</w:t>
            </w:r>
            <w:r w:rsidR="008E163F">
              <w:rPr>
                <w:rFonts w:ascii="Arial" w:hAnsi="Arial" w:cs="Arial"/>
                <w:sz w:val="20"/>
                <w:szCs w:val="20"/>
              </w:rPr>
              <w:t>t</w:t>
            </w:r>
            <w:r w:rsidR="008E163F">
              <w:rPr>
                <w:rFonts w:ascii="Arial" w:hAnsi="Arial" w:cs="Arial"/>
                <w:bCs/>
                <w:color w:val="008000"/>
                <w:sz w:val="20"/>
                <w:szCs w:val="20"/>
              </w:rPr>
              <w:t>ovol</w:t>
            </w:r>
            <w:r w:rsidR="008E163F">
              <w:rPr>
                <w:rFonts w:ascii="Arial" w:hAnsi="Arial" w:cs="Arial"/>
                <w:sz w:val="20"/>
                <w:szCs w:val="20"/>
              </w:rPr>
              <w:t>t</w:t>
            </w:r>
            <w:r w:rsidR="008E163F">
              <w:rPr>
                <w:rFonts w:ascii="Arial" w:hAnsi="Arial" w:cs="Arial"/>
                <w:bCs/>
                <w:color w:val="008000"/>
                <w:sz w:val="20"/>
                <w:szCs w:val="20"/>
              </w:rPr>
              <w:t xml:space="preserve">aici a </w:t>
            </w:r>
            <w:r w:rsidR="008E163F">
              <w:rPr>
                <w:rFonts w:ascii="Arial" w:hAnsi="Arial" w:cs="Arial"/>
                <w:sz w:val="20"/>
                <w:szCs w:val="20"/>
              </w:rPr>
              <w:t>t</w:t>
            </w:r>
            <w:r w:rsidR="008E163F">
              <w:rPr>
                <w:rFonts w:ascii="Arial" w:hAnsi="Arial" w:cs="Arial"/>
                <w:bCs/>
                <w:color w:val="008000"/>
                <w:sz w:val="20"/>
                <w:szCs w:val="20"/>
              </w:rPr>
              <w:t>erra</w:t>
            </w:r>
            <w:r w:rsidRPr="006F56B0">
              <w:rPr>
                <w:rFonts w:ascii="Arial" w:hAnsi="Arial" w:cs="Arial"/>
                <w:bCs/>
                <w:color w:val="008000"/>
                <w:sz w:val="20"/>
                <w:szCs w:val="20"/>
              </w:rPr>
              <w:t>)</w:t>
            </w:r>
          </w:p>
          <w:p w:rsidR="005D5197" w:rsidRPr="00EB6C48" w:rsidRDefault="005D5197" w:rsidP="00355397">
            <w:pPr>
              <w:autoSpaceDE w:val="0"/>
              <w:autoSpaceDN w:val="0"/>
              <w:adjustRightInd w:val="0"/>
              <w:rPr>
                <w:rFonts w:ascii="Arial" w:hAnsi="Arial" w:cs="Arial"/>
                <w:sz w:val="20"/>
                <w:szCs w:val="20"/>
              </w:rPr>
            </w:pPr>
          </w:p>
          <w:p w:rsidR="005D5197" w:rsidRPr="00904AE9" w:rsidRDefault="005D5197" w:rsidP="00355397">
            <w:pPr>
              <w:jc w:val="both"/>
              <w:rPr>
                <w:rFonts w:ascii="Arial" w:hAnsi="Arial" w:cs="Arial"/>
                <w:sz w:val="18"/>
                <w:szCs w:val="18"/>
              </w:rPr>
            </w:pPr>
            <w:r w:rsidRPr="00904AE9">
              <w:rPr>
                <w:rFonts w:ascii="Arial" w:hAnsi="Arial" w:cs="Arial"/>
                <w:sz w:val="18"/>
                <w:szCs w:val="18"/>
              </w:rPr>
              <w:t>V. Lavanga, R. Ferro, S. Farnè, GM. Bardoni, M. Cavagna, P. Broglio, F. Arpaia, M.</w:t>
            </w:r>
            <w:r>
              <w:rPr>
                <w:rFonts w:ascii="Arial" w:hAnsi="Arial" w:cs="Arial"/>
                <w:sz w:val="18"/>
                <w:szCs w:val="18"/>
              </w:rPr>
              <w:t xml:space="preserve"> </w:t>
            </w:r>
            <w:r w:rsidRPr="00904AE9">
              <w:rPr>
                <w:rFonts w:ascii="Arial" w:hAnsi="Arial" w:cs="Arial"/>
                <w:sz w:val="18"/>
                <w:szCs w:val="18"/>
              </w:rPr>
              <w:t>Parilli</w:t>
            </w:r>
          </w:p>
          <w:p w:rsidR="005D5197" w:rsidRPr="00904AE9" w:rsidRDefault="005D5197" w:rsidP="00355397">
            <w:pPr>
              <w:jc w:val="both"/>
              <w:rPr>
                <w:rFonts w:ascii="Arial" w:hAnsi="Arial" w:cs="Arial"/>
                <w:sz w:val="18"/>
                <w:szCs w:val="18"/>
              </w:rPr>
            </w:pPr>
            <w:r w:rsidRPr="00904AE9">
              <w:rPr>
                <w:sz w:val="20"/>
                <w:szCs w:val="20"/>
              </w:rPr>
              <w:t xml:space="preserve">ESCP Srl, </w:t>
            </w:r>
            <w:r w:rsidRPr="00904AE9">
              <w:rPr>
                <w:sz w:val="16"/>
                <w:szCs w:val="16"/>
              </w:rPr>
              <w:t xml:space="preserve">Via Socrate 26 - 20128  MILANO, Italy, </w:t>
            </w:r>
            <w:hyperlink r:id="rId7" w:history="1">
              <w:r w:rsidRPr="00904AE9">
                <w:rPr>
                  <w:rStyle w:val="Collegamentoipertestuale"/>
                  <w:sz w:val="16"/>
                  <w:szCs w:val="16"/>
                </w:rPr>
                <w:t>areatecnica@escp.it</w:t>
              </w:r>
            </w:hyperlink>
            <w:r w:rsidRPr="00904AE9">
              <w:rPr>
                <w:sz w:val="16"/>
                <w:szCs w:val="16"/>
              </w:rPr>
              <w:t xml:space="preserve">, </w:t>
            </w:r>
            <w:hyperlink r:id="rId8" w:history="1">
              <w:r w:rsidRPr="00904AE9">
                <w:rPr>
                  <w:rStyle w:val="Collegamentoipertestuale"/>
                  <w:sz w:val="16"/>
                  <w:szCs w:val="16"/>
                </w:rPr>
                <w:t>www.escp.it</w:t>
              </w:r>
            </w:hyperlink>
            <w:r w:rsidRPr="00904AE9">
              <w:rPr>
                <w:sz w:val="16"/>
                <w:szCs w:val="16"/>
              </w:rPr>
              <w:t xml:space="preserve"> </w:t>
            </w:r>
          </w:p>
          <w:p w:rsidR="005D5197" w:rsidRPr="00EB6C48" w:rsidRDefault="005D5197" w:rsidP="00355397">
            <w:pPr>
              <w:jc w:val="both"/>
              <w:rPr>
                <w:rFonts w:ascii="Arial" w:hAnsi="Arial" w:cs="Arial"/>
                <w:sz w:val="20"/>
                <w:szCs w:val="20"/>
              </w:rPr>
            </w:pPr>
          </w:p>
          <w:p w:rsidR="00FE6960" w:rsidRDefault="005D5197" w:rsidP="00355397">
            <w:pPr>
              <w:jc w:val="both"/>
              <w:rPr>
                <w:rFonts w:ascii="Arial" w:hAnsi="Arial" w:cs="Arial"/>
                <w:b/>
                <w:sz w:val="20"/>
                <w:szCs w:val="20"/>
              </w:rPr>
            </w:pPr>
            <w:r w:rsidRPr="00FE6960">
              <w:rPr>
                <w:rFonts w:ascii="Arial" w:hAnsi="Arial" w:cs="Arial"/>
                <w:b/>
                <w:sz w:val="20"/>
                <w:szCs w:val="20"/>
              </w:rPr>
              <w:t>Criticità</w:t>
            </w:r>
            <w:r w:rsidR="00FE6960">
              <w:rPr>
                <w:rFonts w:ascii="Arial" w:hAnsi="Arial" w:cs="Arial"/>
                <w:b/>
                <w:sz w:val="20"/>
                <w:szCs w:val="20"/>
              </w:rPr>
              <w:t xml:space="preserve"> della Fattoria </w:t>
            </w:r>
            <w:r w:rsidR="00602B25">
              <w:rPr>
                <w:rFonts w:ascii="Arial" w:hAnsi="Arial" w:cs="Arial"/>
                <w:b/>
                <w:sz w:val="20"/>
                <w:szCs w:val="20"/>
              </w:rPr>
              <w:t>1.0</w:t>
            </w:r>
          </w:p>
          <w:p w:rsidR="00FE6960" w:rsidRDefault="00FE6960" w:rsidP="00355397">
            <w:pPr>
              <w:jc w:val="both"/>
              <w:rPr>
                <w:rFonts w:ascii="Arial" w:hAnsi="Arial" w:cs="Arial"/>
                <w:b/>
                <w:sz w:val="20"/>
                <w:szCs w:val="20"/>
              </w:rPr>
            </w:pPr>
          </w:p>
          <w:p w:rsidR="00594466" w:rsidRDefault="00FE6960" w:rsidP="00355397">
            <w:pPr>
              <w:jc w:val="both"/>
              <w:rPr>
                <w:rFonts w:ascii="Arial" w:hAnsi="Arial" w:cs="Arial"/>
                <w:sz w:val="20"/>
                <w:szCs w:val="20"/>
              </w:rPr>
            </w:pPr>
            <w:r>
              <w:rPr>
                <w:rFonts w:ascii="Arial" w:hAnsi="Arial" w:cs="Arial"/>
                <w:b/>
                <w:sz w:val="20"/>
                <w:szCs w:val="20"/>
              </w:rPr>
              <w:t>I</w:t>
            </w:r>
            <w:r w:rsidR="005D5197" w:rsidRPr="00FE6960">
              <w:rPr>
                <w:rFonts w:ascii="Arial" w:hAnsi="Arial" w:cs="Arial"/>
                <w:b/>
                <w:sz w:val="20"/>
                <w:szCs w:val="20"/>
              </w:rPr>
              <w:t>ncidenza degli oneri di bonifica per sfridi e scarti di processo;</w:t>
            </w:r>
            <w:r w:rsidR="007D56C6">
              <w:rPr>
                <w:rFonts w:ascii="Arial" w:hAnsi="Arial" w:cs="Arial"/>
                <w:sz w:val="20"/>
                <w:szCs w:val="20"/>
              </w:rPr>
              <w:t xml:space="preserve"> La gestione degli sfridi tedia ogni processo produttivo, </w:t>
            </w:r>
            <w:r w:rsidR="00594466">
              <w:rPr>
                <w:rFonts w:ascii="Arial" w:hAnsi="Arial" w:cs="Arial"/>
                <w:sz w:val="20"/>
                <w:szCs w:val="20"/>
              </w:rPr>
              <w:t>poiché le materie prime incidono sul prezzo del prodotto, il loro contenimento è ben studiato ma non azzerabile, anche implementando produzioni di sottomarca o destinazioni diverse. Esaurite queste strategie resta l’onere di bonifica delle risulte, spesso hanno incidenze rilevanti, per lo specifico processo a cui devono sottostare ma anche per la burocrazie e protocolli di movimentazione a cui vanno sottoposti</w:t>
            </w:r>
            <w:r w:rsidR="007F5028">
              <w:rPr>
                <w:rFonts w:ascii="Arial" w:hAnsi="Arial" w:cs="Arial"/>
                <w:sz w:val="20"/>
                <w:szCs w:val="20"/>
              </w:rPr>
              <w:t xml:space="preserve"> (in virtù di congrue normative)</w:t>
            </w:r>
            <w:r w:rsidR="00594466">
              <w:rPr>
                <w:rFonts w:ascii="Arial" w:hAnsi="Arial" w:cs="Arial"/>
                <w:sz w:val="20"/>
                <w:szCs w:val="20"/>
              </w:rPr>
              <w:t xml:space="preserve">. </w:t>
            </w:r>
          </w:p>
          <w:p w:rsidR="00206DC0" w:rsidRDefault="00206DC0" w:rsidP="00355397">
            <w:pPr>
              <w:jc w:val="both"/>
              <w:rPr>
                <w:rFonts w:ascii="Arial" w:hAnsi="Arial" w:cs="Arial"/>
                <w:b/>
                <w:sz w:val="20"/>
                <w:szCs w:val="20"/>
              </w:rPr>
            </w:pPr>
          </w:p>
          <w:p w:rsidR="0079731F" w:rsidRDefault="00FE6960" w:rsidP="00355397">
            <w:pPr>
              <w:jc w:val="both"/>
              <w:rPr>
                <w:rFonts w:ascii="Arial" w:hAnsi="Arial" w:cs="Arial"/>
                <w:sz w:val="20"/>
                <w:szCs w:val="20"/>
              </w:rPr>
            </w:pPr>
            <w:r>
              <w:rPr>
                <w:rFonts w:ascii="Arial" w:hAnsi="Arial" w:cs="Arial"/>
                <w:b/>
                <w:sz w:val="20"/>
                <w:szCs w:val="20"/>
              </w:rPr>
              <w:t>D</w:t>
            </w:r>
            <w:r w:rsidR="005D5197" w:rsidRPr="00FE6960">
              <w:rPr>
                <w:rFonts w:ascii="Arial" w:hAnsi="Arial" w:cs="Arial"/>
                <w:b/>
                <w:sz w:val="20"/>
                <w:szCs w:val="20"/>
              </w:rPr>
              <w:t xml:space="preserve">ipendenza da oneri energetici esterni; </w:t>
            </w:r>
            <w:r w:rsidR="00594466">
              <w:rPr>
                <w:rFonts w:ascii="Arial" w:hAnsi="Arial" w:cs="Arial"/>
                <w:sz w:val="20"/>
                <w:szCs w:val="20"/>
              </w:rPr>
              <w:t xml:space="preserve">L’Azienda canonica e </w:t>
            </w:r>
            <w:smartTag w:uri="urn:schemas-microsoft-com:office:smarttags" w:element="PersonName">
              <w:smartTagPr>
                <w:attr w:name="ProductID" w:val="la Fattoria"/>
              </w:smartTagPr>
              <w:r w:rsidR="00594466">
                <w:rPr>
                  <w:rFonts w:ascii="Arial" w:hAnsi="Arial" w:cs="Arial"/>
                  <w:sz w:val="20"/>
                  <w:szCs w:val="20"/>
                </w:rPr>
                <w:t>la Fattoria</w:t>
              </w:r>
            </w:smartTag>
            <w:r w:rsidR="00594466">
              <w:rPr>
                <w:rFonts w:ascii="Arial" w:hAnsi="Arial" w:cs="Arial"/>
                <w:sz w:val="20"/>
                <w:szCs w:val="20"/>
              </w:rPr>
              <w:t xml:space="preserve"> di norma fanno un consueto ricorso all</w:t>
            </w:r>
            <w:r w:rsidR="007F5028">
              <w:rPr>
                <w:rFonts w:ascii="Arial" w:hAnsi="Arial" w:cs="Arial"/>
                <w:sz w:val="20"/>
                <w:szCs w:val="20"/>
              </w:rPr>
              <w:t xml:space="preserve">e </w:t>
            </w:r>
            <w:r w:rsidR="00594466">
              <w:rPr>
                <w:rFonts w:ascii="Arial" w:hAnsi="Arial" w:cs="Arial"/>
                <w:sz w:val="20"/>
                <w:szCs w:val="20"/>
              </w:rPr>
              <w:t>forme di energia</w:t>
            </w:r>
            <w:r w:rsidR="007F5028">
              <w:rPr>
                <w:rFonts w:ascii="Arial" w:hAnsi="Arial" w:cs="Arial"/>
                <w:sz w:val="20"/>
                <w:szCs w:val="20"/>
              </w:rPr>
              <w:t xml:space="preserve"> collegialmente rese disponibili,</w:t>
            </w:r>
            <w:r w:rsidR="00594466">
              <w:rPr>
                <w:rFonts w:ascii="Arial" w:hAnsi="Arial" w:cs="Arial"/>
                <w:sz w:val="20"/>
                <w:szCs w:val="20"/>
              </w:rPr>
              <w:t xml:space="preserve"> con accesso a specifiche forme di potenza </w:t>
            </w:r>
            <w:r w:rsidR="007F5028">
              <w:rPr>
                <w:rFonts w:ascii="Arial" w:hAnsi="Arial" w:cs="Arial"/>
                <w:sz w:val="20"/>
                <w:szCs w:val="20"/>
              </w:rPr>
              <w:t xml:space="preserve">che </w:t>
            </w:r>
            <w:r w:rsidR="00594466">
              <w:rPr>
                <w:rFonts w:ascii="Arial" w:hAnsi="Arial" w:cs="Arial"/>
                <w:sz w:val="20"/>
                <w:szCs w:val="20"/>
              </w:rPr>
              <w:t>massimizza</w:t>
            </w:r>
            <w:r w:rsidR="007F5028">
              <w:rPr>
                <w:rFonts w:ascii="Arial" w:hAnsi="Arial" w:cs="Arial"/>
                <w:sz w:val="20"/>
                <w:szCs w:val="20"/>
              </w:rPr>
              <w:t xml:space="preserve">no  </w:t>
            </w:r>
            <w:r w:rsidR="00594466">
              <w:rPr>
                <w:rFonts w:ascii="Arial" w:hAnsi="Arial" w:cs="Arial"/>
                <w:sz w:val="20"/>
                <w:szCs w:val="20"/>
              </w:rPr>
              <w:t>l’efficacia dei propri interventi. Forme di energie di solito derivanti da fossili e loro stati di trasformazione (energia elettrica in varie forme e combustibili di vario tenore), comunque di origine remota (essendo esse abbastanza concentrate in regioni peculiari, spesso di non facile stabilità geopolitica e quindi a rischio</w:t>
            </w:r>
            <w:r w:rsidR="007F5028">
              <w:rPr>
                <w:rFonts w:ascii="Arial" w:hAnsi="Arial" w:cs="Arial"/>
                <w:sz w:val="20"/>
                <w:szCs w:val="20"/>
              </w:rPr>
              <w:t xml:space="preserve"> di approvvigionamento</w:t>
            </w:r>
            <w:r w:rsidR="00594466">
              <w:rPr>
                <w:rFonts w:ascii="Arial" w:hAnsi="Arial" w:cs="Arial"/>
                <w:sz w:val="20"/>
                <w:szCs w:val="20"/>
              </w:rPr>
              <w:t xml:space="preserve">). </w:t>
            </w:r>
            <w:r w:rsidR="0079731F">
              <w:rPr>
                <w:rFonts w:ascii="Arial" w:hAnsi="Arial" w:cs="Arial"/>
                <w:sz w:val="20"/>
                <w:szCs w:val="20"/>
              </w:rPr>
              <w:t xml:space="preserve">Questo comporta oneri che spesso opprimono lo sviluppo delle aziende e ne limitano i piani a lungo termine. </w:t>
            </w:r>
          </w:p>
          <w:p w:rsidR="00B57EB6" w:rsidRDefault="00B57EB6" w:rsidP="00355397">
            <w:pPr>
              <w:jc w:val="both"/>
              <w:rPr>
                <w:rFonts w:ascii="Arial" w:hAnsi="Arial" w:cs="Arial"/>
                <w:b/>
                <w:sz w:val="20"/>
                <w:szCs w:val="20"/>
              </w:rPr>
            </w:pPr>
          </w:p>
          <w:p w:rsidR="00FE6960" w:rsidRPr="0079731F" w:rsidRDefault="00B57EB6" w:rsidP="00355397">
            <w:pPr>
              <w:jc w:val="both"/>
              <w:rPr>
                <w:rFonts w:ascii="Arial" w:hAnsi="Arial" w:cs="Arial"/>
                <w:sz w:val="20"/>
                <w:szCs w:val="20"/>
              </w:rPr>
            </w:pPr>
            <w:r>
              <w:rPr>
                <w:rFonts w:ascii="Arial" w:hAnsi="Arial" w:cs="Arial"/>
                <w:b/>
                <w:sz w:val="20"/>
                <w:szCs w:val="20"/>
              </w:rPr>
              <w:t>I</w:t>
            </w:r>
            <w:r w:rsidR="005D5197" w:rsidRPr="00FE6960">
              <w:rPr>
                <w:rFonts w:ascii="Arial" w:hAnsi="Arial" w:cs="Arial"/>
                <w:b/>
                <w:sz w:val="20"/>
                <w:szCs w:val="20"/>
              </w:rPr>
              <w:t xml:space="preserve">ncidenza dell’impatto ambientale (impatto energetico da fossili e da cospicuo approvvigionamento idrico </w:t>
            </w:r>
            <w:r w:rsidR="005E7B8E">
              <w:rPr>
                <w:rFonts w:ascii="Arial" w:hAnsi="Arial" w:cs="Arial"/>
                <w:b/>
                <w:sz w:val="20"/>
                <w:szCs w:val="20"/>
              </w:rPr>
              <w:t xml:space="preserve">locale e </w:t>
            </w:r>
            <w:r w:rsidR="005D5197" w:rsidRPr="00FE6960">
              <w:rPr>
                <w:rFonts w:ascii="Arial" w:hAnsi="Arial" w:cs="Arial"/>
                <w:b/>
                <w:sz w:val="20"/>
                <w:szCs w:val="20"/>
              </w:rPr>
              <w:t xml:space="preserve">remoto); </w:t>
            </w:r>
            <w:r w:rsidR="0079731F">
              <w:rPr>
                <w:rFonts w:ascii="Arial" w:hAnsi="Arial" w:cs="Arial"/>
                <w:sz w:val="20"/>
                <w:szCs w:val="20"/>
              </w:rPr>
              <w:t xml:space="preserve">La conduzione dei processi in ambiti circostanziati (aperti o dentro opifici), comporta un’alterazione dell’entalpia del sito che si riverbera in un impatto ambientale deleterio. Impatto non solo energetico ma anche chimico e biologico, chimico in quanto vi è l’inserimento in sito di componenti estranee, ma anche biologico in quanto le condizioni termiche create (direttamente o attraverso micro-clima che incidono sulle consuete temperature del sito) innescano modelli di vita biologica diversi e non sempre consoni al territorio. Pensando ai modelli produttivi di trattamento agro-alimentare, essi, usando molta acqua di processo (per diluizioni o integrazione nei prodotti) e per ripristino delle condizioni igienico sanitarie, sono notevoli consumatori di acqua dolce, risorsa contingentata che quindi altererà altri </w:t>
            </w:r>
            <w:r w:rsidR="005E7B8E">
              <w:rPr>
                <w:rFonts w:ascii="Arial" w:hAnsi="Arial" w:cs="Arial"/>
                <w:sz w:val="20"/>
                <w:szCs w:val="20"/>
              </w:rPr>
              <w:t xml:space="preserve">importanti </w:t>
            </w:r>
            <w:r w:rsidR="0079731F">
              <w:rPr>
                <w:rFonts w:ascii="Arial" w:hAnsi="Arial" w:cs="Arial"/>
                <w:sz w:val="20"/>
                <w:szCs w:val="20"/>
              </w:rPr>
              <w:t>processi di prossimità</w:t>
            </w:r>
            <w:r w:rsidR="005E7B8E">
              <w:rPr>
                <w:rFonts w:ascii="Arial" w:hAnsi="Arial" w:cs="Arial"/>
                <w:sz w:val="20"/>
                <w:szCs w:val="20"/>
              </w:rPr>
              <w:t xml:space="preserve"> ed essenziali all’ecosistema preesistente</w:t>
            </w:r>
            <w:r w:rsidR="0079731F">
              <w:rPr>
                <w:rFonts w:ascii="Arial" w:hAnsi="Arial" w:cs="Arial"/>
                <w:sz w:val="20"/>
                <w:szCs w:val="20"/>
              </w:rPr>
              <w:t xml:space="preserve">. </w:t>
            </w:r>
          </w:p>
          <w:p w:rsidR="00206DC0" w:rsidRDefault="00206DC0" w:rsidP="00355397">
            <w:pPr>
              <w:jc w:val="both"/>
              <w:rPr>
                <w:rFonts w:ascii="Arial" w:hAnsi="Arial" w:cs="Arial"/>
                <w:b/>
                <w:sz w:val="20"/>
                <w:szCs w:val="20"/>
              </w:rPr>
            </w:pPr>
          </w:p>
          <w:p w:rsidR="00CA460D" w:rsidRDefault="00FE6960" w:rsidP="00355397">
            <w:pPr>
              <w:jc w:val="both"/>
              <w:rPr>
                <w:rFonts w:ascii="Arial" w:hAnsi="Arial" w:cs="Arial"/>
                <w:sz w:val="20"/>
                <w:szCs w:val="20"/>
              </w:rPr>
            </w:pPr>
            <w:r>
              <w:rPr>
                <w:rFonts w:ascii="Arial" w:hAnsi="Arial" w:cs="Arial"/>
                <w:b/>
                <w:sz w:val="20"/>
                <w:szCs w:val="20"/>
              </w:rPr>
              <w:t>O</w:t>
            </w:r>
            <w:r w:rsidR="005D5197" w:rsidRPr="00FE6960">
              <w:rPr>
                <w:rFonts w:ascii="Arial" w:hAnsi="Arial" w:cs="Arial"/>
                <w:b/>
                <w:sz w:val="20"/>
                <w:szCs w:val="20"/>
              </w:rPr>
              <w:t xml:space="preserve">neri di logistica per soluzioni consortili di bonifica; </w:t>
            </w:r>
            <w:r w:rsidR="005E7B8E">
              <w:rPr>
                <w:rFonts w:ascii="Arial" w:hAnsi="Arial" w:cs="Arial"/>
                <w:sz w:val="20"/>
                <w:szCs w:val="20"/>
              </w:rPr>
              <w:t xml:space="preserve">La comunità ha dovuto reagire collegialmente per far fronte agli oneri </w:t>
            </w:r>
            <w:r w:rsidR="00CA460D">
              <w:rPr>
                <w:rFonts w:ascii="Arial" w:hAnsi="Arial" w:cs="Arial"/>
                <w:sz w:val="20"/>
                <w:szCs w:val="20"/>
              </w:rPr>
              <w:t xml:space="preserve">di bonifica </w:t>
            </w:r>
            <w:r w:rsidR="005E7B8E">
              <w:rPr>
                <w:rFonts w:ascii="Arial" w:hAnsi="Arial" w:cs="Arial"/>
                <w:sz w:val="20"/>
                <w:szCs w:val="20"/>
              </w:rPr>
              <w:t>generati da svariati processi minori</w:t>
            </w:r>
            <w:r w:rsidR="001E474F">
              <w:rPr>
                <w:rFonts w:ascii="Arial" w:hAnsi="Arial" w:cs="Arial"/>
                <w:sz w:val="20"/>
                <w:szCs w:val="20"/>
              </w:rPr>
              <w:t xml:space="preserve"> ed individualmente</w:t>
            </w:r>
            <w:r w:rsidR="005E7B8E">
              <w:rPr>
                <w:rFonts w:ascii="Arial" w:hAnsi="Arial" w:cs="Arial"/>
                <w:sz w:val="20"/>
                <w:szCs w:val="20"/>
              </w:rPr>
              <w:t>, in quanto non sopportabili dalle singole realtà produttive e necessari alla generale sopravvivenza dei processi socio-economici del territorio, magari approcciati sistem</w:t>
            </w:r>
            <w:r w:rsidR="001E474F">
              <w:rPr>
                <w:rFonts w:ascii="Arial" w:hAnsi="Arial" w:cs="Arial"/>
                <w:sz w:val="20"/>
                <w:szCs w:val="20"/>
              </w:rPr>
              <w:t>atic</w:t>
            </w:r>
            <w:r w:rsidR="005E7B8E">
              <w:rPr>
                <w:rFonts w:ascii="Arial" w:hAnsi="Arial" w:cs="Arial"/>
                <w:sz w:val="20"/>
                <w:szCs w:val="20"/>
              </w:rPr>
              <w:t xml:space="preserve">amente e per suffragare specifiche vocazioni produttive del territorio stesso. La natura invasiva di tali insediamenti (per dimensioni ed effetti collaterali di disturbo, grazie </w:t>
            </w:r>
            <w:r w:rsidR="001E474F">
              <w:rPr>
                <w:rFonts w:ascii="Arial" w:hAnsi="Arial" w:cs="Arial"/>
                <w:sz w:val="20"/>
                <w:szCs w:val="20"/>
              </w:rPr>
              <w:t xml:space="preserve">ad </w:t>
            </w:r>
            <w:r w:rsidR="005E7B8E">
              <w:rPr>
                <w:rFonts w:ascii="Arial" w:hAnsi="Arial" w:cs="Arial"/>
                <w:sz w:val="20"/>
                <w:szCs w:val="20"/>
              </w:rPr>
              <w:t>emissioni indesiderate e non ben controllate, chimico, biologiche, acustiche, luminose, …) le ha spesso portate nelle periferie o in aree rurali, aggiungendo severi oneri di logistica per il conferimento de</w:t>
            </w:r>
            <w:r w:rsidR="00CA460D">
              <w:rPr>
                <w:rFonts w:ascii="Arial" w:hAnsi="Arial" w:cs="Arial"/>
                <w:sz w:val="20"/>
                <w:szCs w:val="20"/>
              </w:rPr>
              <w:t xml:space="preserve">gli scarti provenienti dalle dislocate località produttive distribuite nel territorio (spesso nei perimetri degli insediamenti abitativi).  </w:t>
            </w:r>
          </w:p>
          <w:p w:rsidR="00206DC0" w:rsidRDefault="00206DC0" w:rsidP="00355397">
            <w:pPr>
              <w:jc w:val="both"/>
              <w:rPr>
                <w:rFonts w:ascii="Arial" w:hAnsi="Arial" w:cs="Arial"/>
                <w:b/>
                <w:sz w:val="20"/>
                <w:szCs w:val="20"/>
              </w:rPr>
            </w:pPr>
          </w:p>
          <w:p w:rsidR="00CA460D" w:rsidRDefault="00FE6960" w:rsidP="00355397">
            <w:pPr>
              <w:jc w:val="both"/>
              <w:rPr>
                <w:rFonts w:ascii="Arial" w:hAnsi="Arial" w:cs="Arial"/>
                <w:sz w:val="20"/>
                <w:szCs w:val="20"/>
              </w:rPr>
            </w:pPr>
            <w:r>
              <w:rPr>
                <w:rFonts w:ascii="Arial" w:hAnsi="Arial" w:cs="Arial"/>
                <w:b/>
                <w:sz w:val="20"/>
                <w:szCs w:val="20"/>
              </w:rPr>
              <w:t>I</w:t>
            </w:r>
            <w:r w:rsidR="005D5197" w:rsidRPr="00FE6960">
              <w:rPr>
                <w:rFonts w:ascii="Arial" w:hAnsi="Arial" w:cs="Arial"/>
                <w:b/>
                <w:sz w:val="20"/>
                <w:szCs w:val="20"/>
              </w:rPr>
              <w:t xml:space="preserve">mpatto di insediamenti massivi ed invasivi per la loro imponenza, con precario ammortamento, spesso disatteso; </w:t>
            </w:r>
            <w:r w:rsidR="00CA460D">
              <w:rPr>
                <w:rFonts w:ascii="Arial" w:hAnsi="Arial" w:cs="Arial"/>
                <w:sz w:val="20"/>
                <w:szCs w:val="20"/>
              </w:rPr>
              <w:t xml:space="preserve">Diverse agro-industrie hanno generato insediamenti massivi e spesso plagiato realtà minori verso monocolture. Strategie che spesso hanno disatteso i piani di ammortamento prospettati, lasciando rilevanti criticità agli indigeni del territorio, alle prese </w:t>
            </w:r>
            <w:r w:rsidR="001E474F">
              <w:rPr>
                <w:rFonts w:ascii="Arial" w:hAnsi="Arial" w:cs="Arial"/>
                <w:sz w:val="20"/>
                <w:szCs w:val="20"/>
              </w:rPr>
              <w:t xml:space="preserve">poi </w:t>
            </w:r>
            <w:r w:rsidR="00CA460D">
              <w:rPr>
                <w:rFonts w:ascii="Arial" w:hAnsi="Arial" w:cs="Arial"/>
                <w:sz w:val="20"/>
                <w:szCs w:val="20"/>
              </w:rPr>
              <w:t xml:space="preserve">anche con le riconversioni e bonifiche, </w:t>
            </w:r>
            <w:r w:rsidR="001E474F">
              <w:rPr>
                <w:rFonts w:ascii="Arial" w:hAnsi="Arial" w:cs="Arial"/>
                <w:sz w:val="20"/>
                <w:szCs w:val="20"/>
              </w:rPr>
              <w:t xml:space="preserve">spesso </w:t>
            </w:r>
            <w:r w:rsidR="00CA460D">
              <w:rPr>
                <w:rFonts w:ascii="Arial" w:hAnsi="Arial" w:cs="Arial"/>
                <w:sz w:val="20"/>
                <w:szCs w:val="20"/>
              </w:rPr>
              <w:t xml:space="preserve">con sostenuto debito </w:t>
            </w:r>
            <w:r w:rsidR="001E474F">
              <w:rPr>
                <w:rFonts w:ascii="Arial" w:hAnsi="Arial" w:cs="Arial"/>
                <w:sz w:val="20"/>
                <w:szCs w:val="20"/>
              </w:rPr>
              <w:t xml:space="preserve">economico ed </w:t>
            </w:r>
            <w:r w:rsidR="00CA460D">
              <w:rPr>
                <w:rFonts w:ascii="Arial" w:hAnsi="Arial" w:cs="Arial"/>
                <w:sz w:val="20"/>
                <w:szCs w:val="20"/>
              </w:rPr>
              <w:t xml:space="preserve">ecologico </w:t>
            </w:r>
            <w:r w:rsidR="00CA460D">
              <w:rPr>
                <w:rFonts w:ascii="Arial" w:hAnsi="Arial" w:cs="Arial"/>
                <w:sz w:val="20"/>
                <w:szCs w:val="20"/>
              </w:rPr>
              <w:lastRenderedPageBreak/>
              <w:t xml:space="preserve">verso le generazioni future. </w:t>
            </w:r>
          </w:p>
          <w:p w:rsidR="00CA460D" w:rsidRDefault="00CA460D" w:rsidP="00355397">
            <w:pPr>
              <w:jc w:val="both"/>
              <w:rPr>
                <w:rFonts w:ascii="Arial" w:hAnsi="Arial" w:cs="Arial"/>
                <w:sz w:val="20"/>
                <w:szCs w:val="20"/>
              </w:rPr>
            </w:pPr>
          </w:p>
          <w:p w:rsidR="008A3974" w:rsidRDefault="00FE6960" w:rsidP="00355397">
            <w:pPr>
              <w:jc w:val="both"/>
              <w:rPr>
                <w:rFonts w:ascii="Arial" w:hAnsi="Arial" w:cs="Arial"/>
                <w:sz w:val="20"/>
                <w:szCs w:val="20"/>
              </w:rPr>
            </w:pPr>
            <w:r>
              <w:rPr>
                <w:rFonts w:ascii="Arial" w:hAnsi="Arial" w:cs="Arial"/>
                <w:b/>
                <w:sz w:val="20"/>
                <w:szCs w:val="20"/>
              </w:rPr>
              <w:t>D</w:t>
            </w:r>
            <w:r w:rsidR="005D5197" w:rsidRPr="00FE6960">
              <w:rPr>
                <w:rFonts w:ascii="Arial" w:hAnsi="Arial" w:cs="Arial"/>
                <w:b/>
                <w:sz w:val="20"/>
                <w:szCs w:val="20"/>
              </w:rPr>
              <w:t>ispersione di risorse locali e di risulta sui processi produttivi;</w:t>
            </w:r>
            <w:r w:rsidR="00CA460D">
              <w:rPr>
                <w:rFonts w:ascii="Arial" w:hAnsi="Arial" w:cs="Arial"/>
                <w:sz w:val="20"/>
                <w:szCs w:val="20"/>
              </w:rPr>
              <w:t xml:space="preserve"> Indici di prosperità nei lustri passati, hanno anche plagiato </w:t>
            </w:r>
            <w:r w:rsidR="008A3974">
              <w:rPr>
                <w:rFonts w:ascii="Arial" w:hAnsi="Arial" w:cs="Arial"/>
                <w:sz w:val="20"/>
                <w:szCs w:val="20"/>
              </w:rPr>
              <w:t>e decretato la dispersione di risorse locali e di minore pregio (selezioni di prodotti dal sottobosco, recupero degli sfalci</w:t>
            </w:r>
            <w:r w:rsidR="00E93133">
              <w:rPr>
                <w:rFonts w:ascii="Arial" w:hAnsi="Arial" w:cs="Arial"/>
                <w:sz w:val="20"/>
                <w:szCs w:val="20"/>
              </w:rPr>
              <w:t>,</w:t>
            </w:r>
            <w:r w:rsidR="00076594">
              <w:rPr>
                <w:rFonts w:ascii="Arial" w:hAnsi="Arial" w:cs="Arial"/>
                <w:sz w:val="20"/>
                <w:szCs w:val="20"/>
              </w:rPr>
              <w:t xml:space="preserve"> a</w:t>
            </w:r>
            <w:r w:rsidR="00E93133">
              <w:rPr>
                <w:rFonts w:ascii="Arial" w:hAnsi="Arial" w:cs="Arial"/>
                <w:sz w:val="20"/>
                <w:szCs w:val="20"/>
              </w:rPr>
              <w:t xml:space="preserve">d esempio </w:t>
            </w:r>
            <w:r w:rsidR="008A3974">
              <w:rPr>
                <w:rFonts w:ascii="Arial" w:hAnsi="Arial" w:cs="Arial"/>
                <w:sz w:val="20"/>
                <w:szCs w:val="20"/>
              </w:rPr>
              <w:t xml:space="preserve">da strade e vie di accesso nei poderi, </w:t>
            </w:r>
            <w:r w:rsidR="00E93133">
              <w:rPr>
                <w:rFonts w:ascii="Arial" w:hAnsi="Arial" w:cs="Arial"/>
                <w:sz w:val="20"/>
                <w:szCs w:val="20"/>
              </w:rPr>
              <w:t xml:space="preserve">prima </w:t>
            </w:r>
            <w:r w:rsidR="008A3974">
              <w:rPr>
                <w:rFonts w:ascii="Arial" w:hAnsi="Arial" w:cs="Arial"/>
                <w:sz w:val="20"/>
                <w:szCs w:val="20"/>
              </w:rPr>
              <w:t>meticolosamente riciclate nelle micro attività di prossimità). Hanno anche preso consuetudine processi usa-e-getta, anche in presenza di un significativo potenziale residuo, ritenendo conveniente processi di bonifica (anche se oneroso) per via de</w:t>
            </w:r>
            <w:r w:rsidR="00E93133">
              <w:rPr>
                <w:rFonts w:ascii="Arial" w:hAnsi="Arial" w:cs="Arial"/>
                <w:sz w:val="20"/>
                <w:szCs w:val="20"/>
              </w:rPr>
              <w:t xml:space="preserve">l </w:t>
            </w:r>
            <w:r w:rsidR="008A3974">
              <w:rPr>
                <w:rFonts w:ascii="Arial" w:hAnsi="Arial" w:cs="Arial"/>
                <w:sz w:val="20"/>
                <w:szCs w:val="20"/>
              </w:rPr>
              <w:t>lucro</w:t>
            </w:r>
            <w:r w:rsidR="00E93133">
              <w:rPr>
                <w:rFonts w:ascii="Arial" w:hAnsi="Arial" w:cs="Arial"/>
                <w:sz w:val="20"/>
                <w:szCs w:val="20"/>
              </w:rPr>
              <w:t xml:space="preserve"> </w:t>
            </w:r>
            <w:r w:rsidR="008A3974">
              <w:rPr>
                <w:rFonts w:ascii="Arial" w:hAnsi="Arial" w:cs="Arial"/>
                <w:sz w:val="20"/>
                <w:szCs w:val="20"/>
              </w:rPr>
              <w:t xml:space="preserve">in auge, non consci dei dissesti ambientali in divenire. Consapevolezza che va recuperata.  </w:t>
            </w:r>
          </w:p>
          <w:p w:rsidR="00206DC0" w:rsidRDefault="00206DC0" w:rsidP="00355397">
            <w:pPr>
              <w:jc w:val="both"/>
              <w:rPr>
                <w:rFonts w:ascii="Arial" w:hAnsi="Arial" w:cs="Arial"/>
                <w:b/>
                <w:sz w:val="20"/>
                <w:szCs w:val="20"/>
              </w:rPr>
            </w:pPr>
          </w:p>
          <w:p w:rsidR="00B57320" w:rsidRDefault="00FE6960" w:rsidP="00355397">
            <w:pPr>
              <w:jc w:val="both"/>
              <w:rPr>
                <w:rFonts w:ascii="Arial" w:hAnsi="Arial" w:cs="Arial"/>
                <w:sz w:val="20"/>
                <w:szCs w:val="20"/>
              </w:rPr>
            </w:pPr>
            <w:r>
              <w:rPr>
                <w:rFonts w:ascii="Arial" w:hAnsi="Arial" w:cs="Arial"/>
                <w:b/>
                <w:sz w:val="20"/>
                <w:szCs w:val="20"/>
              </w:rPr>
              <w:t>D</w:t>
            </w:r>
            <w:r w:rsidR="005D5197" w:rsidRPr="00FE6960">
              <w:rPr>
                <w:rFonts w:ascii="Arial" w:hAnsi="Arial" w:cs="Arial"/>
                <w:b/>
                <w:sz w:val="20"/>
                <w:szCs w:val="20"/>
              </w:rPr>
              <w:t>ispersione degli  esuberi da FER elettriche dai parchi eolici  (spesso notturno);</w:t>
            </w:r>
            <w:r w:rsidR="008A3974">
              <w:rPr>
                <w:rFonts w:ascii="Arial" w:hAnsi="Arial" w:cs="Arial"/>
                <w:b/>
                <w:sz w:val="20"/>
                <w:szCs w:val="20"/>
              </w:rPr>
              <w:t xml:space="preserve"> </w:t>
            </w:r>
            <w:r w:rsidR="008A3974">
              <w:rPr>
                <w:rFonts w:ascii="Arial" w:hAnsi="Arial" w:cs="Arial"/>
                <w:sz w:val="20"/>
                <w:szCs w:val="20"/>
              </w:rPr>
              <w:t>Lo spreco non ha solo coinvolto le risorse biologiche del territorio, ma anche alcune prestigiose derivanti da rilevanti investimenti tecnologici, quali parchi eolici</w:t>
            </w:r>
            <w:r w:rsidR="00B57320">
              <w:rPr>
                <w:rFonts w:ascii="Arial" w:hAnsi="Arial" w:cs="Arial"/>
                <w:sz w:val="20"/>
                <w:szCs w:val="20"/>
              </w:rPr>
              <w:t xml:space="preserve"> (in regimi notturni) e fotovoltaici (in regimi di week-end e festività, di cui non osservano il calendario)</w:t>
            </w:r>
            <w:r w:rsidR="008A3974">
              <w:rPr>
                <w:rFonts w:ascii="Arial" w:hAnsi="Arial" w:cs="Arial"/>
                <w:sz w:val="20"/>
                <w:szCs w:val="20"/>
              </w:rPr>
              <w:t xml:space="preserve">, essenzialmente decretati da politiche più vaste e non pienamente ponderate. </w:t>
            </w:r>
            <w:r w:rsidR="00B57320">
              <w:rPr>
                <w:rFonts w:ascii="Arial" w:hAnsi="Arial" w:cs="Arial"/>
                <w:sz w:val="20"/>
                <w:szCs w:val="20"/>
              </w:rPr>
              <w:t xml:space="preserve">Il </w:t>
            </w:r>
            <w:r w:rsidR="008A3974">
              <w:rPr>
                <w:rFonts w:ascii="Arial" w:hAnsi="Arial" w:cs="Arial"/>
                <w:sz w:val="20"/>
                <w:szCs w:val="20"/>
              </w:rPr>
              <w:t>dimensionament</w:t>
            </w:r>
            <w:r w:rsidR="00B57320">
              <w:rPr>
                <w:rFonts w:ascii="Arial" w:hAnsi="Arial" w:cs="Arial"/>
                <w:sz w:val="20"/>
                <w:szCs w:val="20"/>
              </w:rPr>
              <w:t>o di parchi eolici non ha  contemplato l’esubero notturno generato dal complessivo “monte ore produttivo”, sicché le reti non possono assorbire/dispacciare, in raggi utili, le produzioni di impianti tecnologici costosi</w:t>
            </w:r>
            <w:r w:rsidR="00E93133">
              <w:rPr>
                <w:rFonts w:ascii="Arial" w:hAnsi="Arial" w:cs="Arial"/>
                <w:sz w:val="20"/>
                <w:szCs w:val="20"/>
              </w:rPr>
              <w:t xml:space="preserve"> e </w:t>
            </w:r>
            <w:r w:rsidR="00B57320">
              <w:rPr>
                <w:rFonts w:ascii="Arial" w:hAnsi="Arial" w:cs="Arial"/>
                <w:sz w:val="20"/>
                <w:szCs w:val="20"/>
              </w:rPr>
              <w:t xml:space="preserve">tenuti </w:t>
            </w:r>
            <w:r w:rsidR="00E93133">
              <w:rPr>
                <w:rFonts w:ascii="Arial" w:hAnsi="Arial" w:cs="Arial"/>
                <w:sz w:val="20"/>
                <w:szCs w:val="20"/>
              </w:rPr>
              <w:t xml:space="preserve">comunque </w:t>
            </w:r>
            <w:r w:rsidR="00B57320">
              <w:rPr>
                <w:rFonts w:ascii="Arial" w:hAnsi="Arial" w:cs="Arial"/>
                <w:sz w:val="20"/>
                <w:szCs w:val="20"/>
              </w:rPr>
              <w:t xml:space="preserve">inoperosi. </w:t>
            </w:r>
          </w:p>
          <w:p w:rsidR="00206DC0" w:rsidRDefault="00206DC0" w:rsidP="00355397">
            <w:pPr>
              <w:jc w:val="both"/>
              <w:rPr>
                <w:rFonts w:ascii="Arial" w:hAnsi="Arial" w:cs="Arial"/>
                <w:b/>
                <w:sz w:val="20"/>
                <w:szCs w:val="20"/>
              </w:rPr>
            </w:pPr>
          </w:p>
          <w:p w:rsidR="00B57320" w:rsidRPr="00FE6960" w:rsidRDefault="00B57320" w:rsidP="00355397">
            <w:pPr>
              <w:jc w:val="both"/>
              <w:rPr>
                <w:rFonts w:ascii="Arial" w:hAnsi="Arial" w:cs="Arial"/>
                <w:b/>
                <w:sz w:val="20"/>
                <w:szCs w:val="20"/>
              </w:rPr>
            </w:pPr>
          </w:p>
          <w:p w:rsidR="00FE6960" w:rsidRDefault="005D5197" w:rsidP="00355397">
            <w:pPr>
              <w:jc w:val="both"/>
              <w:rPr>
                <w:rFonts w:ascii="Arial" w:hAnsi="Arial" w:cs="Arial"/>
                <w:b/>
                <w:sz w:val="20"/>
                <w:szCs w:val="20"/>
              </w:rPr>
            </w:pPr>
            <w:r w:rsidRPr="00FE6960">
              <w:rPr>
                <w:rFonts w:ascii="Arial" w:hAnsi="Arial" w:cs="Arial"/>
                <w:b/>
                <w:sz w:val="20"/>
                <w:szCs w:val="20"/>
              </w:rPr>
              <w:t>Svilupp</w:t>
            </w:r>
            <w:r w:rsidR="00FE6960">
              <w:rPr>
                <w:rFonts w:ascii="Arial" w:hAnsi="Arial" w:cs="Arial"/>
                <w:b/>
                <w:sz w:val="20"/>
                <w:szCs w:val="20"/>
              </w:rPr>
              <w:t>i da LabFarm</w:t>
            </w:r>
            <w:r w:rsidR="00602B25">
              <w:rPr>
                <w:rFonts w:ascii="Arial" w:hAnsi="Arial" w:cs="Arial"/>
                <w:b/>
                <w:sz w:val="20"/>
                <w:szCs w:val="20"/>
              </w:rPr>
              <w:t xml:space="preserve"> </w:t>
            </w:r>
            <w:r w:rsidR="00FE6960">
              <w:rPr>
                <w:rFonts w:ascii="Arial" w:hAnsi="Arial" w:cs="Arial"/>
                <w:b/>
                <w:sz w:val="20"/>
                <w:szCs w:val="20"/>
              </w:rPr>
              <w:t>2.0</w:t>
            </w:r>
          </w:p>
          <w:p w:rsidR="00FE6960" w:rsidRDefault="00FE6960" w:rsidP="00355397">
            <w:pPr>
              <w:jc w:val="both"/>
              <w:rPr>
                <w:rFonts w:ascii="Arial" w:hAnsi="Arial" w:cs="Arial"/>
                <w:b/>
                <w:sz w:val="20"/>
                <w:szCs w:val="20"/>
              </w:rPr>
            </w:pPr>
          </w:p>
          <w:p w:rsidR="00490D32" w:rsidRDefault="00FE6960" w:rsidP="00355397">
            <w:pPr>
              <w:jc w:val="both"/>
              <w:rPr>
                <w:rFonts w:ascii="Arial" w:hAnsi="Arial" w:cs="Arial"/>
                <w:sz w:val="20"/>
                <w:szCs w:val="20"/>
              </w:rPr>
            </w:pPr>
            <w:r>
              <w:rPr>
                <w:rFonts w:ascii="Arial" w:hAnsi="Arial" w:cs="Arial"/>
                <w:b/>
                <w:sz w:val="20"/>
                <w:szCs w:val="20"/>
              </w:rPr>
              <w:t>D</w:t>
            </w:r>
            <w:r w:rsidR="005D5197" w:rsidRPr="00FE6960">
              <w:rPr>
                <w:rFonts w:ascii="Arial" w:hAnsi="Arial" w:cs="Arial"/>
                <w:b/>
                <w:sz w:val="20"/>
                <w:szCs w:val="20"/>
              </w:rPr>
              <w:t xml:space="preserve">iffondere e stimolare la micro “Digestione Anaerobica” e le micro  “Coltivazioni Algali”; </w:t>
            </w:r>
            <w:r w:rsidR="00490D32">
              <w:rPr>
                <w:rFonts w:ascii="Arial" w:hAnsi="Arial" w:cs="Arial"/>
                <w:sz w:val="20"/>
                <w:szCs w:val="20"/>
              </w:rPr>
              <w:t>LabFarm 2.0 con la micro digestione anaerobica e commisurata coltivazione algale, entrambe in assetti innovativi ed in regimi micro, distribuit</w:t>
            </w:r>
            <w:r w:rsidR="0010191B">
              <w:rPr>
                <w:rFonts w:ascii="Arial" w:hAnsi="Arial" w:cs="Arial"/>
                <w:sz w:val="20"/>
                <w:szCs w:val="20"/>
              </w:rPr>
              <w:t xml:space="preserve">i </w:t>
            </w:r>
            <w:r w:rsidR="00490D32">
              <w:rPr>
                <w:rFonts w:ascii="Arial" w:hAnsi="Arial" w:cs="Arial"/>
                <w:sz w:val="20"/>
                <w:szCs w:val="20"/>
              </w:rPr>
              <w:t>e pervasiv</w:t>
            </w:r>
            <w:r w:rsidR="0010191B">
              <w:rPr>
                <w:rFonts w:ascii="Arial" w:hAnsi="Arial" w:cs="Arial"/>
                <w:sz w:val="20"/>
                <w:szCs w:val="20"/>
              </w:rPr>
              <w:t>i</w:t>
            </w:r>
            <w:r w:rsidR="00490D32">
              <w:rPr>
                <w:rFonts w:ascii="Arial" w:hAnsi="Arial" w:cs="Arial"/>
                <w:sz w:val="20"/>
                <w:szCs w:val="20"/>
              </w:rPr>
              <w:t xml:space="preserve">, può stimolare </w:t>
            </w:r>
            <w:r w:rsidR="0010191B">
              <w:rPr>
                <w:rFonts w:ascii="Arial" w:hAnsi="Arial" w:cs="Arial"/>
                <w:sz w:val="20"/>
                <w:szCs w:val="20"/>
              </w:rPr>
              <w:t xml:space="preserve">soluzioni virtuose e </w:t>
            </w:r>
            <w:r w:rsidR="00E93133">
              <w:rPr>
                <w:rFonts w:ascii="Arial" w:hAnsi="Arial" w:cs="Arial"/>
                <w:sz w:val="20"/>
                <w:szCs w:val="20"/>
              </w:rPr>
              <w:t xml:space="preserve">divenire </w:t>
            </w:r>
            <w:r w:rsidR="00490D32">
              <w:rPr>
                <w:rFonts w:ascii="Arial" w:hAnsi="Arial" w:cs="Arial"/>
                <w:sz w:val="20"/>
                <w:szCs w:val="20"/>
              </w:rPr>
              <w:t xml:space="preserve">panacea </w:t>
            </w:r>
            <w:r w:rsidR="00E93133">
              <w:rPr>
                <w:rFonts w:ascii="Arial" w:hAnsi="Arial" w:cs="Arial"/>
                <w:sz w:val="20"/>
                <w:szCs w:val="20"/>
              </w:rPr>
              <w:t xml:space="preserve">di </w:t>
            </w:r>
            <w:r w:rsidR="00490D32">
              <w:rPr>
                <w:rFonts w:ascii="Arial" w:hAnsi="Arial" w:cs="Arial"/>
                <w:sz w:val="20"/>
                <w:szCs w:val="20"/>
              </w:rPr>
              <w:t xml:space="preserve">molte criticità in essere.  </w:t>
            </w:r>
            <w:r w:rsidR="00920940">
              <w:rPr>
                <w:rFonts w:ascii="Arial" w:hAnsi="Arial" w:cs="Arial"/>
                <w:sz w:val="20"/>
                <w:szCs w:val="20"/>
              </w:rPr>
              <w:t xml:space="preserve">Attivare insediamenti in tandem, </w:t>
            </w:r>
            <w:r w:rsidR="00E93133">
              <w:rPr>
                <w:rFonts w:ascii="Arial" w:hAnsi="Arial" w:cs="Arial"/>
                <w:sz w:val="20"/>
                <w:szCs w:val="20"/>
              </w:rPr>
              <w:t>D</w:t>
            </w:r>
            <w:r w:rsidR="00920940">
              <w:rPr>
                <w:rFonts w:ascii="Arial" w:hAnsi="Arial" w:cs="Arial"/>
                <w:sz w:val="20"/>
                <w:szCs w:val="20"/>
              </w:rPr>
              <w:t xml:space="preserve">igestori </w:t>
            </w:r>
            <w:r w:rsidR="00E93133">
              <w:rPr>
                <w:rFonts w:ascii="Arial" w:hAnsi="Arial" w:cs="Arial"/>
                <w:sz w:val="20"/>
                <w:szCs w:val="20"/>
              </w:rPr>
              <w:t>A</w:t>
            </w:r>
            <w:r w:rsidR="00920940">
              <w:rPr>
                <w:rFonts w:ascii="Arial" w:hAnsi="Arial" w:cs="Arial"/>
                <w:sz w:val="20"/>
                <w:szCs w:val="20"/>
              </w:rPr>
              <w:t>n</w:t>
            </w:r>
            <w:r w:rsidR="00E93133">
              <w:rPr>
                <w:rFonts w:ascii="Arial" w:hAnsi="Arial" w:cs="Arial"/>
                <w:sz w:val="20"/>
                <w:szCs w:val="20"/>
              </w:rPr>
              <w:t>a</w:t>
            </w:r>
            <w:r w:rsidR="00920940">
              <w:rPr>
                <w:rFonts w:ascii="Arial" w:hAnsi="Arial" w:cs="Arial"/>
                <w:sz w:val="20"/>
                <w:szCs w:val="20"/>
              </w:rPr>
              <w:t xml:space="preserve">erobici e BioReattori per alghe, presso parchi eolici e fotovoltaici, unisce risorse naturali dirette (sole, vento e condizione igro-termiche) ed indirette (risulte agronomiche) verso produzioni di pregio energetico (biocombustibili trasportabili, biometano/bioidrogeno) e prodotti funzionali alla filiera alimentare (componenti proteiche) ed energetiche (componenti oleiche) o </w:t>
            </w:r>
            <w:r w:rsidR="00D51898">
              <w:rPr>
                <w:rFonts w:ascii="Arial" w:hAnsi="Arial" w:cs="Arial"/>
                <w:sz w:val="20"/>
                <w:szCs w:val="20"/>
              </w:rPr>
              <w:t xml:space="preserve">altrettanto </w:t>
            </w:r>
            <w:r w:rsidR="00920940">
              <w:rPr>
                <w:rFonts w:ascii="Arial" w:hAnsi="Arial" w:cs="Arial"/>
                <w:sz w:val="20"/>
                <w:szCs w:val="20"/>
              </w:rPr>
              <w:t xml:space="preserve">prestigiose </w:t>
            </w:r>
            <w:r w:rsidR="00E93133">
              <w:rPr>
                <w:rFonts w:ascii="Arial" w:hAnsi="Arial" w:cs="Arial"/>
                <w:sz w:val="20"/>
                <w:szCs w:val="20"/>
              </w:rPr>
              <w:t xml:space="preserve">ad uso della </w:t>
            </w:r>
            <w:r w:rsidR="00920940">
              <w:rPr>
                <w:rFonts w:ascii="Arial" w:hAnsi="Arial" w:cs="Arial"/>
                <w:sz w:val="20"/>
                <w:szCs w:val="20"/>
              </w:rPr>
              <w:t>chimica</w:t>
            </w:r>
            <w:r w:rsidR="00D51898">
              <w:rPr>
                <w:rFonts w:ascii="Arial" w:hAnsi="Arial" w:cs="Arial"/>
                <w:sz w:val="20"/>
                <w:szCs w:val="20"/>
              </w:rPr>
              <w:t>-</w:t>
            </w:r>
            <w:r w:rsidR="00920940">
              <w:rPr>
                <w:rFonts w:ascii="Arial" w:hAnsi="Arial" w:cs="Arial"/>
                <w:sz w:val="20"/>
                <w:szCs w:val="20"/>
              </w:rPr>
              <w:t>verde, farmaceutic</w:t>
            </w:r>
            <w:r w:rsidR="00D51898">
              <w:rPr>
                <w:rFonts w:ascii="Arial" w:hAnsi="Arial" w:cs="Arial"/>
                <w:sz w:val="20"/>
                <w:szCs w:val="20"/>
              </w:rPr>
              <w:t>a</w:t>
            </w:r>
            <w:r w:rsidR="00920940">
              <w:rPr>
                <w:rFonts w:ascii="Arial" w:hAnsi="Arial" w:cs="Arial"/>
                <w:sz w:val="20"/>
                <w:szCs w:val="20"/>
              </w:rPr>
              <w:t>, …</w:t>
            </w:r>
            <w:r w:rsidR="00D51898">
              <w:rPr>
                <w:rFonts w:ascii="Arial" w:hAnsi="Arial" w:cs="Arial"/>
                <w:sz w:val="20"/>
                <w:szCs w:val="20"/>
              </w:rPr>
              <w:t xml:space="preserve">consentendo di </w:t>
            </w:r>
            <w:r w:rsidR="00920940">
              <w:rPr>
                <w:rFonts w:ascii="Arial" w:hAnsi="Arial" w:cs="Arial"/>
                <w:sz w:val="20"/>
                <w:szCs w:val="20"/>
              </w:rPr>
              <w:t>accumulare le risorse preg</w:t>
            </w:r>
            <w:r w:rsidR="00D51898">
              <w:rPr>
                <w:rFonts w:ascii="Arial" w:hAnsi="Arial" w:cs="Arial"/>
                <w:sz w:val="20"/>
                <w:szCs w:val="20"/>
              </w:rPr>
              <w:t xml:space="preserve">iate ed in esubero </w:t>
            </w:r>
            <w:r w:rsidR="00920940">
              <w:rPr>
                <w:rFonts w:ascii="Arial" w:hAnsi="Arial" w:cs="Arial"/>
                <w:sz w:val="20"/>
                <w:szCs w:val="20"/>
              </w:rPr>
              <w:t xml:space="preserve">dei parchi eolici e fotovoltaici già in esercizio.    </w:t>
            </w:r>
          </w:p>
          <w:p w:rsidR="00206DC0" w:rsidRDefault="00206DC0" w:rsidP="00355397">
            <w:pPr>
              <w:jc w:val="both"/>
              <w:rPr>
                <w:rFonts w:ascii="Arial" w:hAnsi="Arial" w:cs="Arial"/>
                <w:b/>
                <w:sz w:val="20"/>
                <w:szCs w:val="20"/>
              </w:rPr>
            </w:pPr>
          </w:p>
          <w:p w:rsidR="00807F23" w:rsidRDefault="00FE6960" w:rsidP="00355397">
            <w:pPr>
              <w:jc w:val="both"/>
              <w:rPr>
                <w:rFonts w:ascii="Arial" w:hAnsi="Arial" w:cs="Arial"/>
                <w:sz w:val="20"/>
                <w:szCs w:val="20"/>
              </w:rPr>
            </w:pPr>
            <w:r>
              <w:rPr>
                <w:rFonts w:ascii="Arial" w:hAnsi="Arial" w:cs="Arial"/>
                <w:b/>
                <w:sz w:val="20"/>
                <w:szCs w:val="20"/>
              </w:rPr>
              <w:t>U</w:t>
            </w:r>
            <w:r w:rsidR="005D5197" w:rsidRPr="00FE6960">
              <w:rPr>
                <w:rFonts w:ascii="Arial" w:hAnsi="Arial" w:cs="Arial"/>
                <w:b/>
                <w:sz w:val="20"/>
                <w:szCs w:val="20"/>
              </w:rPr>
              <w:t>na leva potente è fare  massa critica con umido/scarti domestici e da processi vari (fattorie, manifatturiero agro-alimentare, GDO, ricettività sanitaria e turistica, Ho</w:t>
            </w:r>
            <w:r w:rsidR="00E93133">
              <w:rPr>
                <w:rFonts w:ascii="Arial" w:hAnsi="Arial" w:cs="Arial"/>
                <w:b/>
                <w:sz w:val="20"/>
                <w:szCs w:val="20"/>
              </w:rPr>
              <w:t>.</w:t>
            </w:r>
            <w:r w:rsidR="005D5197" w:rsidRPr="00FE6960">
              <w:rPr>
                <w:rFonts w:ascii="Arial" w:hAnsi="Arial" w:cs="Arial"/>
                <w:b/>
                <w:sz w:val="20"/>
                <w:szCs w:val="20"/>
              </w:rPr>
              <w:t xml:space="preserve">Re.Ca, …); </w:t>
            </w:r>
            <w:r w:rsidR="00807F23">
              <w:rPr>
                <w:rFonts w:ascii="Arial" w:hAnsi="Arial" w:cs="Arial"/>
                <w:sz w:val="20"/>
                <w:szCs w:val="20"/>
              </w:rPr>
              <w:t>La digestione anaerobica (fatto fisiologico presente in ogni organismo biologico, umani compresi) si è affermata come processo produttivo nelle fattorie di rilevanti dimensioni, aprendosi via via a strutture minori, ora la domotica ed automazione industriale e pronta a farla recepire a micro attività. MBGC è una risposta (</w:t>
            </w:r>
            <w:r w:rsidR="00C140F0">
              <w:rPr>
                <w:rFonts w:ascii="Arial" w:hAnsi="Arial" w:cs="Arial"/>
                <w:sz w:val="20"/>
                <w:szCs w:val="20"/>
              </w:rPr>
              <w:t>tra le prime</w:t>
            </w:r>
            <w:r w:rsidR="00807F23">
              <w:rPr>
                <w:rFonts w:ascii="Arial" w:hAnsi="Arial" w:cs="Arial"/>
                <w:sz w:val="20"/>
                <w:szCs w:val="20"/>
              </w:rPr>
              <w:t xml:space="preserve"> </w:t>
            </w:r>
            <w:r w:rsidR="00C140F0">
              <w:rPr>
                <w:rFonts w:ascii="Arial" w:hAnsi="Arial" w:cs="Arial"/>
                <w:sz w:val="20"/>
                <w:szCs w:val="20"/>
              </w:rPr>
              <w:t xml:space="preserve">e che miglioreremo </w:t>
            </w:r>
            <w:r w:rsidR="00807F23">
              <w:rPr>
                <w:rFonts w:ascii="Arial" w:hAnsi="Arial" w:cs="Arial"/>
                <w:sz w:val="20"/>
                <w:szCs w:val="20"/>
              </w:rPr>
              <w:t xml:space="preserve"> ulteriormente). Oltre che nella LabFarm 2.0, questa tecnologia è già proiettata verso insediamenti urbani e periurbani, </w:t>
            </w:r>
            <w:r w:rsidR="00E93133">
              <w:rPr>
                <w:rFonts w:ascii="Arial" w:hAnsi="Arial" w:cs="Arial"/>
                <w:sz w:val="20"/>
                <w:szCs w:val="20"/>
              </w:rPr>
              <w:t xml:space="preserve">oltre che </w:t>
            </w:r>
            <w:r w:rsidR="00807F23">
              <w:rPr>
                <w:rFonts w:ascii="Arial" w:hAnsi="Arial" w:cs="Arial"/>
                <w:sz w:val="20"/>
                <w:szCs w:val="20"/>
              </w:rPr>
              <w:t xml:space="preserve">in innumerevoli comparti trasversali. Resta di panacea del mondo agronomico perché da essa trae origine e perché bene ne maneggia i componenti e le funzionalità. </w:t>
            </w:r>
          </w:p>
          <w:p w:rsidR="00206DC0" w:rsidRDefault="00206DC0" w:rsidP="00355397">
            <w:pPr>
              <w:jc w:val="both"/>
              <w:rPr>
                <w:rFonts w:ascii="Arial" w:hAnsi="Arial" w:cs="Arial"/>
                <w:b/>
                <w:sz w:val="20"/>
                <w:szCs w:val="20"/>
              </w:rPr>
            </w:pPr>
          </w:p>
          <w:p w:rsidR="00FE6960" w:rsidRPr="00E22257" w:rsidRDefault="00FE6960" w:rsidP="00355397">
            <w:pPr>
              <w:jc w:val="both"/>
              <w:rPr>
                <w:rFonts w:ascii="Arial" w:hAnsi="Arial" w:cs="Arial"/>
                <w:sz w:val="20"/>
                <w:szCs w:val="20"/>
              </w:rPr>
            </w:pPr>
            <w:r>
              <w:rPr>
                <w:rFonts w:ascii="Arial" w:hAnsi="Arial" w:cs="Arial"/>
                <w:b/>
                <w:sz w:val="20"/>
                <w:szCs w:val="20"/>
              </w:rPr>
              <w:t>B</w:t>
            </w:r>
            <w:r w:rsidR="005D5197" w:rsidRPr="00FE6960">
              <w:rPr>
                <w:rFonts w:ascii="Arial" w:hAnsi="Arial" w:cs="Arial"/>
                <w:b/>
                <w:sz w:val="20"/>
                <w:szCs w:val="20"/>
              </w:rPr>
              <w:t xml:space="preserve">onifiche in sito di reflui (umani ed animali); </w:t>
            </w:r>
            <w:r w:rsidR="00E22257">
              <w:rPr>
                <w:rFonts w:ascii="Arial" w:hAnsi="Arial" w:cs="Arial"/>
                <w:sz w:val="20"/>
                <w:szCs w:val="20"/>
              </w:rPr>
              <w:t>MBGC è t</w:t>
            </w:r>
            <w:r w:rsidR="00807F23" w:rsidRPr="00807F23">
              <w:rPr>
                <w:rFonts w:ascii="Arial" w:hAnsi="Arial" w:cs="Arial"/>
                <w:sz w:val="20"/>
                <w:szCs w:val="20"/>
              </w:rPr>
              <w:t>ecnol</w:t>
            </w:r>
            <w:r w:rsidR="00807F23">
              <w:rPr>
                <w:rFonts w:ascii="Arial" w:hAnsi="Arial" w:cs="Arial"/>
                <w:sz w:val="20"/>
                <w:szCs w:val="20"/>
              </w:rPr>
              <w:t>o</w:t>
            </w:r>
            <w:r w:rsidR="00807F23" w:rsidRPr="00807F23">
              <w:rPr>
                <w:rFonts w:ascii="Arial" w:hAnsi="Arial" w:cs="Arial"/>
                <w:sz w:val="20"/>
                <w:szCs w:val="20"/>
              </w:rPr>
              <w:t>gia virtuosa</w:t>
            </w:r>
            <w:r w:rsidR="00807F23">
              <w:rPr>
                <w:rFonts w:ascii="Arial" w:hAnsi="Arial" w:cs="Arial"/>
                <w:sz w:val="20"/>
                <w:szCs w:val="20"/>
              </w:rPr>
              <w:t xml:space="preserve"> che approccia problemi annosi e di essenziale portata, cruccio d</w:t>
            </w:r>
            <w:r w:rsidR="00E22257">
              <w:rPr>
                <w:rFonts w:ascii="Arial" w:hAnsi="Arial" w:cs="Arial"/>
                <w:sz w:val="20"/>
                <w:szCs w:val="20"/>
              </w:rPr>
              <w:t xml:space="preserve">i ogni </w:t>
            </w:r>
            <w:r w:rsidR="00807F23">
              <w:rPr>
                <w:rFonts w:ascii="Arial" w:hAnsi="Arial" w:cs="Arial"/>
                <w:sz w:val="20"/>
                <w:szCs w:val="20"/>
              </w:rPr>
              <w:t>amministrator</w:t>
            </w:r>
            <w:r w:rsidR="00E22257">
              <w:rPr>
                <w:rFonts w:ascii="Arial" w:hAnsi="Arial" w:cs="Arial"/>
                <w:sz w:val="20"/>
                <w:szCs w:val="20"/>
              </w:rPr>
              <w:t xml:space="preserve">e </w:t>
            </w:r>
            <w:r w:rsidR="00807F23">
              <w:rPr>
                <w:rFonts w:ascii="Arial" w:hAnsi="Arial" w:cs="Arial"/>
                <w:sz w:val="20"/>
                <w:szCs w:val="20"/>
              </w:rPr>
              <w:t xml:space="preserve"> local</w:t>
            </w:r>
            <w:r w:rsidR="00E22257">
              <w:rPr>
                <w:rFonts w:ascii="Arial" w:hAnsi="Arial" w:cs="Arial"/>
                <w:sz w:val="20"/>
                <w:szCs w:val="20"/>
              </w:rPr>
              <w:t>e</w:t>
            </w:r>
            <w:r w:rsidR="00807F23">
              <w:rPr>
                <w:rFonts w:ascii="Arial" w:hAnsi="Arial" w:cs="Arial"/>
                <w:sz w:val="20"/>
                <w:szCs w:val="20"/>
              </w:rPr>
              <w:t>, poiché presidia l’esistenza stessa della comunità a cui fa capo.</w:t>
            </w:r>
            <w:r w:rsidR="00E22257">
              <w:rPr>
                <w:rFonts w:ascii="Arial" w:hAnsi="Arial" w:cs="Arial"/>
                <w:sz w:val="20"/>
                <w:szCs w:val="20"/>
              </w:rPr>
              <w:t xml:space="preserve"> Virtuosità che si manifesta meglio facendo massa critica accorpando i due temi critici: reflui ed umido (FORSU in generale), derivanti da ogni attività antropica (umana e non umana, vegetali ed animali, domestici e non compresi, comunque biologicamente significativi). </w:t>
            </w:r>
            <w:r w:rsidR="00807F23">
              <w:rPr>
                <w:rFonts w:ascii="Arial" w:hAnsi="Arial" w:cs="Arial"/>
                <w:sz w:val="20"/>
                <w:szCs w:val="20"/>
              </w:rPr>
              <w:t xml:space="preserve">   </w:t>
            </w:r>
          </w:p>
          <w:p w:rsidR="00206DC0" w:rsidRDefault="00206DC0" w:rsidP="00355397">
            <w:pPr>
              <w:jc w:val="both"/>
              <w:rPr>
                <w:rFonts w:ascii="Arial" w:hAnsi="Arial" w:cs="Arial"/>
                <w:b/>
                <w:sz w:val="20"/>
                <w:szCs w:val="20"/>
              </w:rPr>
            </w:pPr>
          </w:p>
          <w:p w:rsidR="00E22257" w:rsidRDefault="00FE6960" w:rsidP="00355397">
            <w:pPr>
              <w:jc w:val="both"/>
              <w:rPr>
                <w:rFonts w:ascii="Arial" w:hAnsi="Arial" w:cs="Arial"/>
                <w:sz w:val="20"/>
                <w:szCs w:val="20"/>
              </w:rPr>
            </w:pPr>
            <w:r>
              <w:rPr>
                <w:rFonts w:ascii="Arial" w:hAnsi="Arial" w:cs="Arial"/>
                <w:b/>
                <w:sz w:val="20"/>
                <w:szCs w:val="20"/>
              </w:rPr>
              <w:t>I</w:t>
            </w:r>
            <w:r w:rsidR="005D5197" w:rsidRPr="00FE6960">
              <w:rPr>
                <w:rFonts w:ascii="Arial" w:hAnsi="Arial" w:cs="Arial"/>
                <w:b/>
                <w:sz w:val="20"/>
                <w:szCs w:val="20"/>
              </w:rPr>
              <w:t xml:space="preserve">ntegrazione sinergica con bisogni energetici locali (elettrico ed ACS hanno incidenza costante nell’anno, riscaldamento e raffrescamento sono </w:t>
            </w:r>
            <w:r w:rsidR="005D5197" w:rsidRPr="00FE6960">
              <w:rPr>
                <w:rFonts w:ascii="Arial" w:hAnsi="Arial" w:cs="Arial"/>
                <w:b/>
                <w:sz w:val="20"/>
                <w:szCs w:val="20"/>
              </w:rPr>
              <w:lastRenderedPageBreak/>
              <w:t xml:space="preserve">stagionali ma livellabili con il ricorso a PdC); </w:t>
            </w:r>
            <w:r w:rsidR="00E22257">
              <w:rPr>
                <w:rFonts w:ascii="Arial" w:hAnsi="Arial" w:cs="Arial"/>
                <w:sz w:val="20"/>
                <w:szCs w:val="20"/>
              </w:rPr>
              <w:t xml:space="preserve">Uno tra i più pregiati sottoprodotti della digestione anaerobica, il BioMetano, </w:t>
            </w:r>
            <w:r w:rsidR="00E93133">
              <w:rPr>
                <w:rFonts w:ascii="Arial" w:hAnsi="Arial" w:cs="Arial"/>
                <w:sz w:val="20"/>
                <w:szCs w:val="20"/>
              </w:rPr>
              <w:t>é</w:t>
            </w:r>
            <w:r w:rsidR="00E22257">
              <w:rPr>
                <w:rFonts w:ascii="Arial" w:hAnsi="Arial" w:cs="Arial"/>
                <w:sz w:val="20"/>
                <w:szCs w:val="20"/>
              </w:rPr>
              <w:t xml:space="preserve"> direttamente impiegabile in sito e con rilevanti sinergie. Il suo immediato impiego con gruppi elettrogeni va a coprire il 15</w:t>
            </w:r>
            <w:r w:rsidR="00CA35D9">
              <w:rPr>
                <w:rFonts w:ascii="Arial" w:hAnsi="Arial" w:cs="Arial"/>
                <w:sz w:val="20"/>
                <w:szCs w:val="20"/>
              </w:rPr>
              <w:t>/20</w:t>
            </w:r>
            <w:r w:rsidR="00E22257">
              <w:rPr>
                <w:rFonts w:ascii="Arial" w:hAnsi="Arial" w:cs="Arial"/>
                <w:sz w:val="20"/>
                <w:szCs w:val="20"/>
              </w:rPr>
              <w:t>% del fabbisogno elettrico complessivo</w:t>
            </w:r>
            <w:r w:rsidR="00CA35D9">
              <w:rPr>
                <w:rFonts w:ascii="Arial" w:hAnsi="Arial" w:cs="Arial"/>
                <w:sz w:val="20"/>
                <w:szCs w:val="20"/>
              </w:rPr>
              <w:t xml:space="preserve"> attuale (in futuri assetti efficienti anche il doppio), poiché questo implica una </w:t>
            </w:r>
            <w:r w:rsidR="00E93133">
              <w:rPr>
                <w:rFonts w:ascii="Arial" w:hAnsi="Arial" w:cs="Arial"/>
                <w:sz w:val="20"/>
                <w:szCs w:val="20"/>
              </w:rPr>
              <w:t xml:space="preserve">significativa </w:t>
            </w:r>
            <w:r w:rsidR="00CA35D9">
              <w:rPr>
                <w:rFonts w:ascii="Arial" w:hAnsi="Arial" w:cs="Arial"/>
                <w:sz w:val="20"/>
                <w:szCs w:val="20"/>
              </w:rPr>
              <w:t xml:space="preserve">disponibilità termica si può contemporaneamente coprire il 50% del fabbisogno di ACS (acqua calda sanitaria). </w:t>
            </w:r>
            <w:r w:rsidR="009162CB">
              <w:rPr>
                <w:rFonts w:ascii="Arial" w:hAnsi="Arial" w:cs="Arial"/>
                <w:sz w:val="20"/>
                <w:szCs w:val="20"/>
              </w:rPr>
              <w:t xml:space="preserve">Sono numeri importanti che unitamente ad azioni sistemiche della gestione energetica, apportano un grande contributo alla indipendenza ed autonomia energetica. </w:t>
            </w:r>
          </w:p>
          <w:p w:rsidR="00206DC0" w:rsidRDefault="00206DC0" w:rsidP="00355397">
            <w:pPr>
              <w:jc w:val="both"/>
              <w:rPr>
                <w:rFonts w:ascii="Arial" w:hAnsi="Arial" w:cs="Arial"/>
                <w:b/>
                <w:sz w:val="20"/>
                <w:szCs w:val="20"/>
              </w:rPr>
            </w:pPr>
          </w:p>
          <w:p w:rsidR="009162CB" w:rsidRDefault="00FE6960" w:rsidP="00355397">
            <w:pPr>
              <w:jc w:val="both"/>
              <w:rPr>
                <w:rFonts w:ascii="Arial" w:hAnsi="Arial" w:cs="Arial"/>
                <w:sz w:val="20"/>
                <w:szCs w:val="20"/>
              </w:rPr>
            </w:pPr>
            <w:r>
              <w:rPr>
                <w:rFonts w:ascii="Arial" w:hAnsi="Arial" w:cs="Arial"/>
                <w:b/>
                <w:sz w:val="20"/>
                <w:szCs w:val="20"/>
              </w:rPr>
              <w:t>A</w:t>
            </w:r>
            <w:r w:rsidR="005D5197" w:rsidRPr="00FE6960">
              <w:rPr>
                <w:rFonts w:ascii="Arial" w:hAnsi="Arial" w:cs="Arial"/>
                <w:b/>
                <w:sz w:val="20"/>
                <w:szCs w:val="20"/>
              </w:rPr>
              <w:t xml:space="preserve">zioni sul sito efficaci ed abbattere gli oneri di logistica e consortili per bonifiche (grazie al micro, con sua elevata automazione e modulabilità, da locale o remoto); </w:t>
            </w:r>
            <w:r w:rsidR="009162CB">
              <w:rPr>
                <w:rFonts w:ascii="Arial" w:hAnsi="Arial" w:cs="Arial"/>
                <w:sz w:val="20"/>
                <w:szCs w:val="20"/>
              </w:rPr>
              <w:t xml:space="preserve">LabFarm 2.0 con tali interventi promuove soluzioni atte a contenere gli oneri di logistica per le bonifiche, individuali o consortili. Gli impianti micro possono fruire di elevati livelli di automazione e controllo remoto, nonché modulabilità funzionale agli scopi prefissati. </w:t>
            </w:r>
            <w:r w:rsidR="00390970">
              <w:rPr>
                <w:rFonts w:ascii="Arial" w:hAnsi="Arial" w:cs="Arial"/>
                <w:sz w:val="20"/>
                <w:szCs w:val="20"/>
              </w:rPr>
              <w:t xml:space="preserve">Grazie a servizi di monitoraggio remoto si avranno maggiori possibilità di prevenzione, sia sulla salute che ambiente.  </w:t>
            </w:r>
          </w:p>
          <w:p w:rsidR="00206DC0" w:rsidRDefault="00206DC0" w:rsidP="00355397">
            <w:pPr>
              <w:jc w:val="both"/>
              <w:rPr>
                <w:rFonts w:ascii="Arial" w:hAnsi="Arial" w:cs="Arial"/>
                <w:b/>
                <w:sz w:val="20"/>
                <w:szCs w:val="20"/>
              </w:rPr>
            </w:pPr>
          </w:p>
          <w:p w:rsidR="009162CB" w:rsidRDefault="00FE6960" w:rsidP="00355397">
            <w:pPr>
              <w:jc w:val="both"/>
              <w:rPr>
                <w:rFonts w:ascii="Arial" w:hAnsi="Arial" w:cs="Arial"/>
                <w:sz w:val="20"/>
                <w:szCs w:val="20"/>
              </w:rPr>
            </w:pPr>
            <w:r>
              <w:rPr>
                <w:rFonts w:ascii="Arial" w:hAnsi="Arial" w:cs="Arial"/>
                <w:b/>
                <w:sz w:val="20"/>
                <w:szCs w:val="20"/>
              </w:rPr>
              <w:t>V</w:t>
            </w:r>
            <w:r w:rsidR="005D5197" w:rsidRPr="00FE6960">
              <w:rPr>
                <w:rFonts w:ascii="Arial" w:hAnsi="Arial" w:cs="Arial"/>
                <w:b/>
                <w:sz w:val="20"/>
                <w:szCs w:val="20"/>
              </w:rPr>
              <w:t xml:space="preserve">alorizzare logiche consortili su produzioni (sottoprodotti di D.A. e da coltivazioni algali); </w:t>
            </w:r>
            <w:r w:rsidR="009162CB">
              <w:rPr>
                <w:rFonts w:ascii="Arial" w:hAnsi="Arial" w:cs="Arial"/>
                <w:sz w:val="20"/>
                <w:szCs w:val="20"/>
              </w:rPr>
              <w:t xml:space="preserve">Attivando logiche consortili si renderà virtuoso ed economicamente vantaggioso l’investimento, fino ad produrre significative voci di ricavi, soprattutto se correlati a processi di coltivazioni idroponiche o algali, con elevata valorizzazione di prodotti.  </w:t>
            </w:r>
          </w:p>
          <w:p w:rsidR="009162CB" w:rsidRDefault="009162CB" w:rsidP="00355397">
            <w:pPr>
              <w:jc w:val="both"/>
              <w:rPr>
                <w:rFonts w:ascii="Arial" w:hAnsi="Arial" w:cs="Arial"/>
                <w:b/>
                <w:sz w:val="20"/>
                <w:szCs w:val="20"/>
              </w:rPr>
            </w:pPr>
          </w:p>
          <w:p w:rsidR="005D5197" w:rsidRPr="000F3B9D" w:rsidRDefault="00FE6960" w:rsidP="00355397">
            <w:pPr>
              <w:jc w:val="both"/>
              <w:rPr>
                <w:rFonts w:ascii="Arial" w:hAnsi="Arial" w:cs="Arial"/>
                <w:sz w:val="20"/>
                <w:szCs w:val="20"/>
              </w:rPr>
            </w:pPr>
            <w:r>
              <w:rPr>
                <w:rFonts w:ascii="Arial" w:hAnsi="Arial" w:cs="Arial"/>
                <w:b/>
                <w:sz w:val="20"/>
                <w:szCs w:val="20"/>
              </w:rPr>
              <w:t>S</w:t>
            </w:r>
            <w:r w:rsidR="005D5197" w:rsidRPr="00FE6960">
              <w:rPr>
                <w:rFonts w:ascii="Arial" w:hAnsi="Arial" w:cs="Arial"/>
                <w:b/>
                <w:sz w:val="20"/>
                <w:szCs w:val="20"/>
              </w:rPr>
              <w:t>viluppare piattaforma capillare a ridosso dei punti produttivi</w:t>
            </w:r>
            <w:r w:rsidR="000F3B9D">
              <w:rPr>
                <w:rFonts w:ascii="Arial" w:hAnsi="Arial" w:cs="Arial"/>
                <w:b/>
                <w:sz w:val="20"/>
                <w:szCs w:val="20"/>
              </w:rPr>
              <w:t xml:space="preserve">, in </w:t>
            </w:r>
            <w:r w:rsidR="005D5197" w:rsidRPr="00FE6960">
              <w:rPr>
                <w:rFonts w:ascii="Arial" w:hAnsi="Arial" w:cs="Arial"/>
                <w:b/>
                <w:sz w:val="20"/>
                <w:szCs w:val="20"/>
              </w:rPr>
              <w:t xml:space="preserve">parchi eolici </w:t>
            </w:r>
            <w:r w:rsidR="000F3B9D">
              <w:rPr>
                <w:rFonts w:ascii="Arial" w:hAnsi="Arial" w:cs="Arial"/>
                <w:b/>
                <w:sz w:val="20"/>
                <w:szCs w:val="20"/>
              </w:rPr>
              <w:t xml:space="preserve">e fotovoltaici </w:t>
            </w:r>
            <w:r w:rsidR="005D5197" w:rsidRPr="00FE6960">
              <w:rPr>
                <w:rFonts w:ascii="Arial" w:hAnsi="Arial" w:cs="Arial"/>
                <w:b/>
                <w:sz w:val="20"/>
                <w:szCs w:val="20"/>
              </w:rPr>
              <w:t>(rotazione di coltivazioni con risulte funzionali alle coltivazioni algali programmate, di elevata modulabilità e controllo remoto, ZEM);</w:t>
            </w:r>
            <w:r w:rsidR="005D5197">
              <w:rPr>
                <w:rFonts w:ascii="Arial" w:hAnsi="Arial" w:cs="Arial"/>
                <w:sz w:val="20"/>
                <w:szCs w:val="20"/>
              </w:rPr>
              <w:t xml:space="preserve">  </w:t>
            </w:r>
            <w:r w:rsidR="000F3B9D">
              <w:rPr>
                <w:rFonts w:ascii="Arial" w:hAnsi="Arial" w:cs="Arial"/>
                <w:sz w:val="20"/>
                <w:szCs w:val="20"/>
              </w:rPr>
              <w:t>LabFarm 2.0 potrà a</w:t>
            </w:r>
            <w:r w:rsidR="009162CB">
              <w:rPr>
                <w:rFonts w:ascii="Arial" w:hAnsi="Arial" w:cs="Arial"/>
                <w:sz w:val="20"/>
                <w:szCs w:val="20"/>
              </w:rPr>
              <w:t>ttivare</w:t>
            </w:r>
            <w:r w:rsidR="000F3B9D">
              <w:rPr>
                <w:rFonts w:ascii="Arial" w:hAnsi="Arial" w:cs="Arial"/>
                <w:sz w:val="20"/>
                <w:szCs w:val="20"/>
              </w:rPr>
              <w:t xml:space="preserve"> piattaforme capillari, progettando rotazioni e produzioni colturali idonee a costituire congrui volumi di risorse (in logiche JHSM, Joules Hierarchical Storage Management), permetterà di recuperare rilevanti esuberi di energie pregiate da parchi eolici e fotovoltaici (i cui piani di ammortamento soffrono ampio inutilizzo). Il loro coordinamento e gestione è assicurato da sistemi collaudati e funzionalmente idonei introdotti in MBGC e PBRC (ZEM, Zucchetti Energy Management). </w:t>
            </w:r>
          </w:p>
          <w:p w:rsidR="00FE6960" w:rsidRDefault="00FE6960" w:rsidP="00355397">
            <w:pPr>
              <w:jc w:val="both"/>
              <w:rPr>
                <w:rFonts w:ascii="Arial" w:hAnsi="Arial" w:cs="Arial"/>
              </w:rPr>
            </w:pPr>
          </w:p>
          <w:p w:rsidR="000F3B9D" w:rsidRDefault="000F3B9D" w:rsidP="00355397">
            <w:pPr>
              <w:jc w:val="both"/>
              <w:rPr>
                <w:rFonts w:ascii="Arial" w:hAnsi="Arial" w:cs="Arial"/>
              </w:rPr>
            </w:pPr>
          </w:p>
          <w:p w:rsidR="00FE6960" w:rsidRDefault="00FE6960" w:rsidP="00355397">
            <w:pPr>
              <w:jc w:val="both"/>
              <w:rPr>
                <w:rFonts w:ascii="Arial" w:hAnsi="Arial" w:cs="Arial"/>
                <w:sz w:val="20"/>
                <w:szCs w:val="20"/>
              </w:rPr>
            </w:pPr>
            <w:r>
              <w:rPr>
                <w:rFonts w:ascii="Arial" w:hAnsi="Arial" w:cs="Arial"/>
                <w:sz w:val="20"/>
                <w:szCs w:val="20"/>
              </w:rPr>
              <w:t xml:space="preserve">Segue un approfondimento sulle potenzialità di un’azione sistemica sostenuta da un gruppo di ricercatori e sviluppatori  attraverso una recente entità: ESCP Srl (Energy Supply-Chain Plan). </w:t>
            </w:r>
          </w:p>
          <w:p w:rsidR="000F3B9D" w:rsidRPr="000F3B9D" w:rsidRDefault="000F3B9D" w:rsidP="00355397">
            <w:pPr>
              <w:jc w:val="both"/>
              <w:rPr>
                <w:rFonts w:ascii="Arial" w:hAnsi="Arial" w:cs="Arial"/>
                <w:sz w:val="20"/>
                <w:szCs w:val="20"/>
              </w:rPr>
            </w:pPr>
          </w:p>
        </w:tc>
      </w:tr>
    </w:tbl>
    <w:p w:rsidR="005D5197" w:rsidRDefault="005D5197" w:rsidP="00672313"/>
    <w:p w:rsidR="00BA24E0" w:rsidRDefault="00BA24E0" w:rsidP="00672313"/>
    <w:p w:rsidR="004F2C02" w:rsidRDefault="00E209C2" w:rsidP="00BA24E0">
      <w:pPr>
        <w:jc w:val="both"/>
        <w:rPr>
          <w:rFonts w:ascii="Arial" w:hAnsi="Arial" w:cs="Arial"/>
          <w:sz w:val="20"/>
          <w:szCs w:val="20"/>
        </w:rPr>
      </w:pPr>
      <w:r>
        <w:rPr>
          <w:rFonts w:ascii="Arial" w:hAnsi="Arial" w:cs="Arial"/>
          <w:szCs w:val="19"/>
        </w:rPr>
        <w:br w:type="page"/>
      </w:r>
    </w:p>
    <w:p w:rsidR="00FE6960" w:rsidRPr="00FE6960" w:rsidRDefault="00FE6960" w:rsidP="00FE6960">
      <w:pPr>
        <w:jc w:val="both"/>
        <w:rPr>
          <w:b/>
          <w:color w:val="0000FF"/>
          <w:sz w:val="28"/>
          <w:szCs w:val="28"/>
        </w:rPr>
      </w:pPr>
      <w:r w:rsidRPr="00FE6960">
        <w:rPr>
          <w:b/>
          <w:color w:val="0000FF"/>
          <w:sz w:val="28"/>
          <w:szCs w:val="28"/>
        </w:rPr>
        <w:t>MBGC</w:t>
      </w:r>
      <w:r w:rsidRPr="00FE6960">
        <w:rPr>
          <w:rFonts w:ascii="Tahoma" w:hAnsi="Tahoma" w:cs="Tahoma"/>
          <w:color w:val="0000FF"/>
          <w:sz w:val="28"/>
          <w:szCs w:val="28"/>
        </w:rPr>
        <w:t>™</w:t>
      </w:r>
      <w:r w:rsidRPr="00FE6960">
        <w:rPr>
          <w:b/>
          <w:color w:val="0000FF"/>
          <w:sz w:val="28"/>
          <w:szCs w:val="28"/>
        </w:rPr>
        <w:t xml:space="preserve"> - Proposta ESCP Srl </w:t>
      </w:r>
    </w:p>
    <w:p w:rsidR="004F2C02" w:rsidRDefault="004F2C02" w:rsidP="00BA24E0">
      <w:pPr>
        <w:jc w:val="both"/>
      </w:pPr>
    </w:p>
    <w:p w:rsidR="00BA24E0" w:rsidRDefault="00BA24E0" w:rsidP="00BA24E0"/>
    <w:p w:rsidR="00BA24E0" w:rsidRDefault="00E209C2" w:rsidP="00E209C2">
      <w:pPr>
        <w:ind w:left="708"/>
        <w:jc w:val="both"/>
      </w:pPr>
      <w:r>
        <w:rPr>
          <w:b/>
        </w:rPr>
        <w:t xml:space="preserve">ESCP </w:t>
      </w:r>
      <w:r w:rsidR="00BA24E0">
        <w:rPr>
          <w:b/>
        </w:rPr>
        <w:t xml:space="preserve"> Srl, tra le proprie attività, include lo sviluppo di bioenergie</w:t>
      </w:r>
      <w:r w:rsidR="00BA24E0">
        <w:t xml:space="preserve">, ed in particolare con la propria proposta </w:t>
      </w:r>
      <w:r w:rsidR="00BA24E0">
        <w:rPr>
          <w:b/>
        </w:rPr>
        <w:t>MBGC (MiniBioGasContinuous)</w:t>
      </w:r>
      <w:r w:rsidR="00BA24E0">
        <w:t>. Un eccellenza nella produzione italiana di mini impianti per la produzione di biogas e biometano, supportato da propri know-how, brevetti e relazioni industriali ed accademiche</w:t>
      </w:r>
      <w:r>
        <w:t>.</w:t>
      </w:r>
    </w:p>
    <w:p w:rsidR="00BA24E0" w:rsidRDefault="00BA24E0" w:rsidP="00E209C2">
      <w:pPr>
        <w:ind w:left="708"/>
        <w:jc w:val="both"/>
        <w:rPr>
          <w:color w:val="000000"/>
        </w:rPr>
      </w:pPr>
      <w:r>
        <w:rPr>
          <w:color w:val="000000"/>
        </w:rPr>
        <w:t> </w:t>
      </w:r>
    </w:p>
    <w:p w:rsidR="00BA24E0" w:rsidRDefault="00BA24E0" w:rsidP="00E209C2">
      <w:pPr>
        <w:ind w:left="708"/>
        <w:jc w:val="both"/>
        <w:rPr>
          <w:color w:val="000000"/>
        </w:rPr>
      </w:pPr>
      <w:r>
        <w:rPr>
          <w:b/>
          <w:color w:val="000000"/>
        </w:rPr>
        <w:t>MBGC</w:t>
      </w:r>
      <w:r>
        <w:rPr>
          <w:color w:val="000000"/>
        </w:rPr>
        <w:t xml:space="preserve"> è un impianto a biogas di taglia "mini", con potenza compresa tra i </w:t>
      </w:r>
      <w:r w:rsidR="00E209C2">
        <w:rPr>
          <w:color w:val="000000"/>
        </w:rPr>
        <w:t>3</w:t>
      </w:r>
      <w:r>
        <w:rPr>
          <w:color w:val="000000"/>
        </w:rPr>
        <w:t xml:space="preserve"> e i 100 kW, in grado di produrre energia elettrica e calore sfruttando i reflui zootecnici, le biomasse vegetali o un mix di matrici organiche conferite a vario titolo da industrie o enti territoriali (Ho.Re.Ca, agroindustria, agroalimentare, mense aziendali e collettive, …).</w:t>
      </w:r>
    </w:p>
    <w:p w:rsidR="00BA24E0" w:rsidRDefault="00BA24E0" w:rsidP="00E209C2">
      <w:pPr>
        <w:ind w:left="708"/>
        <w:jc w:val="both"/>
        <w:rPr>
          <w:color w:val="000000"/>
        </w:rPr>
      </w:pPr>
      <w:r>
        <w:rPr>
          <w:color w:val="000000"/>
        </w:rPr>
        <w:br/>
      </w:r>
      <w:r>
        <w:rPr>
          <w:b/>
          <w:color w:val="000000"/>
        </w:rPr>
        <w:t>"all-in-one"</w:t>
      </w:r>
      <w:r>
        <w:rPr>
          <w:color w:val="000000"/>
        </w:rPr>
        <w:t xml:space="preserve">  - La formula esprime l’eccellenza di </w:t>
      </w:r>
      <w:r w:rsidR="00E209C2">
        <w:rPr>
          <w:b/>
          <w:color w:val="000000"/>
        </w:rPr>
        <w:t xml:space="preserve">ESCP </w:t>
      </w:r>
      <w:r>
        <w:rPr>
          <w:b/>
          <w:color w:val="000000"/>
        </w:rPr>
        <w:t xml:space="preserve"> SRL </w:t>
      </w:r>
      <w:r>
        <w:rPr>
          <w:color w:val="000000"/>
        </w:rPr>
        <w:t xml:space="preserve">nella conduzione del progetto “on-site” sotto le linee guida di accordi EPC di Fornitura (Engineering Procurement Construction), alla luce del quale si esprime l’attitudine al ruolo di System Integrator fornendo alla committenza un reale servizio “turnkey” senza ansie ed affanni nella realizzazione della catena del valore (analisi dei bisogni, selezione della “vendor list”, iter amministrativi, esecuzione e collaudo). Questa eccellenza potrà essere corredata di altrettanta eccellenza nella gestione del progetto, mediante EPC-2 di Gestione (Energy Performance Contracting), in cui </w:t>
      </w:r>
      <w:r w:rsidR="00E209C2">
        <w:rPr>
          <w:b/>
          <w:color w:val="000000"/>
        </w:rPr>
        <w:t xml:space="preserve">ESCP </w:t>
      </w:r>
      <w:r>
        <w:rPr>
          <w:b/>
          <w:color w:val="000000"/>
        </w:rPr>
        <w:t xml:space="preserve"> SRL </w:t>
      </w:r>
      <w:r>
        <w:rPr>
          <w:color w:val="000000"/>
        </w:rPr>
        <w:t xml:space="preserve">cura l’intero investimento nella sua conduzione, esonerando la committenza dal gestire ed acquisire tematiche e specifiche competenze, condividendo solo i risultati con </w:t>
      </w:r>
      <w:r w:rsidR="00E209C2">
        <w:rPr>
          <w:b/>
          <w:color w:val="000000"/>
        </w:rPr>
        <w:t xml:space="preserve">ESCP </w:t>
      </w:r>
      <w:r>
        <w:rPr>
          <w:b/>
          <w:color w:val="000000"/>
        </w:rPr>
        <w:t xml:space="preserve"> SRL</w:t>
      </w:r>
      <w:r>
        <w:rPr>
          <w:color w:val="000000"/>
        </w:rPr>
        <w:t xml:space="preserve">. </w:t>
      </w:r>
    </w:p>
    <w:p w:rsidR="00BA24E0" w:rsidRDefault="00BA24E0" w:rsidP="00E209C2">
      <w:pPr>
        <w:ind w:left="708"/>
        <w:jc w:val="both"/>
        <w:rPr>
          <w:color w:val="000000"/>
        </w:rPr>
      </w:pPr>
      <w:r>
        <w:rPr>
          <w:color w:val="000000"/>
        </w:rPr>
        <w:t> </w:t>
      </w:r>
    </w:p>
    <w:p w:rsidR="00BA24E0" w:rsidRDefault="00BA24E0" w:rsidP="00E209C2">
      <w:pPr>
        <w:ind w:left="708"/>
        <w:jc w:val="both"/>
        <w:rPr>
          <w:color w:val="000000"/>
        </w:rPr>
      </w:pPr>
      <w:r>
        <w:rPr>
          <w:b/>
          <w:bCs/>
          <w:color w:val="000000"/>
        </w:rPr>
        <w:t>Immediato da installare</w:t>
      </w:r>
      <w:r>
        <w:rPr>
          <w:color w:val="000000"/>
        </w:rPr>
        <w:t xml:space="preserve"> - </w:t>
      </w:r>
      <w:r>
        <w:rPr>
          <w:b/>
          <w:color w:val="000000"/>
        </w:rPr>
        <w:t>MBGC</w:t>
      </w:r>
      <w:r>
        <w:rPr>
          <w:color w:val="000000"/>
        </w:rPr>
        <w:t xml:space="preserve"> è un prodotto in massima parte preassemblato in maniera seriale, con ridotti costì e tempi di collaudo, la manodopera per l'installazione e le prove di funzionamento, la messa a regime dell'impianto è una questione di poche settimane.</w:t>
      </w:r>
    </w:p>
    <w:p w:rsidR="00BA24E0" w:rsidRDefault="00BA24E0" w:rsidP="00E209C2">
      <w:pPr>
        <w:ind w:left="708"/>
        <w:jc w:val="both"/>
        <w:rPr>
          <w:color w:val="000000"/>
        </w:rPr>
      </w:pPr>
      <w:r>
        <w:rPr>
          <w:color w:val="000000"/>
        </w:rPr>
        <w:t> </w:t>
      </w:r>
    </w:p>
    <w:p w:rsidR="00BA24E0" w:rsidRDefault="00BA24E0" w:rsidP="00E209C2">
      <w:pPr>
        <w:ind w:left="708"/>
        <w:jc w:val="both"/>
        <w:rPr>
          <w:color w:val="000000"/>
        </w:rPr>
      </w:pPr>
      <w:r>
        <w:rPr>
          <w:b/>
          <w:bCs/>
          <w:color w:val="000000"/>
        </w:rPr>
        <w:t xml:space="preserve">Trafile burocratiche </w:t>
      </w:r>
      <w:r>
        <w:rPr>
          <w:color w:val="000000"/>
        </w:rPr>
        <w:t xml:space="preserve">- L'impianto può essere installato con semplice DIA e tempi di autorizzazione molto rapidi, senza obbligo di iscrizione a registro per prenotazioni agli incentivi. Enti ed ispettorato dell'Agricoltura, Vigili del Fuoco saranno agevolmente attivati e preventivamente informati, ottenendo pareri preliminari e snellimento nelle procedure. </w:t>
      </w:r>
    </w:p>
    <w:p w:rsidR="00BA24E0" w:rsidRDefault="00BA24E0" w:rsidP="00E209C2">
      <w:pPr>
        <w:ind w:left="708"/>
        <w:jc w:val="both"/>
        <w:rPr>
          <w:color w:val="000000"/>
        </w:rPr>
      </w:pPr>
      <w:r>
        <w:rPr>
          <w:color w:val="000000"/>
        </w:rPr>
        <w:t> </w:t>
      </w:r>
    </w:p>
    <w:p w:rsidR="00BA24E0" w:rsidRDefault="00BA24E0" w:rsidP="00E209C2">
      <w:pPr>
        <w:ind w:left="708"/>
        <w:jc w:val="both"/>
        <w:rPr>
          <w:color w:val="000000"/>
        </w:rPr>
      </w:pPr>
      <w:r>
        <w:rPr>
          <w:b/>
          <w:bCs/>
          <w:color w:val="000000"/>
        </w:rPr>
        <w:t xml:space="preserve">Scalabile e rispettoso dell'ambiente </w:t>
      </w:r>
      <w:r>
        <w:rPr>
          <w:color w:val="000000"/>
        </w:rPr>
        <w:t xml:space="preserve">- </w:t>
      </w:r>
      <w:r>
        <w:rPr>
          <w:b/>
          <w:color w:val="000000"/>
        </w:rPr>
        <w:t>MBGC</w:t>
      </w:r>
      <w:r>
        <w:rPr>
          <w:color w:val="000000"/>
        </w:rPr>
        <w:t xml:space="preserve"> è inoltre facilmente estensibile in caso di accresciuto fabbisogno energetico dell'impresa. Nell'ottica di una totale sostenibilità, rappresenta una soluzione al problema dell'impatto paesaggistico e ambientale, presentandosi come una vera e propria estensione al verde ornamentale nel cuore della "tenuta" agricola, insediamento residenziale o industriale.</w:t>
      </w:r>
    </w:p>
    <w:p w:rsidR="00BA24E0" w:rsidRDefault="00BA24E0" w:rsidP="00E209C2">
      <w:pPr>
        <w:ind w:left="708"/>
        <w:jc w:val="both"/>
        <w:rPr>
          <w:color w:val="000000"/>
        </w:rPr>
      </w:pPr>
      <w:r>
        <w:rPr>
          <w:color w:val="000000"/>
        </w:rPr>
        <w:t> </w:t>
      </w:r>
    </w:p>
    <w:p w:rsidR="00BA24E0" w:rsidRDefault="00BA24E0" w:rsidP="00E209C2">
      <w:pPr>
        <w:ind w:left="708"/>
        <w:jc w:val="both"/>
        <w:rPr>
          <w:color w:val="000000"/>
        </w:rPr>
      </w:pPr>
      <w:r>
        <w:rPr>
          <w:b/>
          <w:bCs/>
          <w:color w:val="000000"/>
        </w:rPr>
        <w:t>Monitoraggio costante</w:t>
      </w:r>
      <w:r>
        <w:rPr>
          <w:color w:val="000000"/>
        </w:rPr>
        <w:t xml:space="preserve"> - La portata innovativa dell'impianto risiede anche nella particolare tecnologia messa a punto da </w:t>
      </w:r>
      <w:r w:rsidR="00E209C2">
        <w:rPr>
          <w:b/>
          <w:color w:val="000000"/>
        </w:rPr>
        <w:t xml:space="preserve">ESCP </w:t>
      </w:r>
      <w:r>
        <w:rPr>
          <w:b/>
          <w:color w:val="000000"/>
        </w:rPr>
        <w:t xml:space="preserve"> SRL</w:t>
      </w:r>
      <w:r>
        <w:rPr>
          <w:color w:val="000000"/>
        </w:rPr>
        <w:t xml:space="preserve">: il telecontrollo a distanza dei delicati processi di miscelazione e triturazione della biomassa, oltre che dei principali parametri chimici del biogas e dell'efficienza di produzione dell'energia elettrica e di ogni altro servizio annesso (come calore e condizionamento igro-termico degli ambienti di processo o residenziali), con il ricorso ottimale ed integrato a FER disponibili sul territorio. </w:t>
      </w:r>
    </w:p>
    <w:p w:rsidR="00D52875" w:rsidRDefault="00D52875" w:rsidP="00E209C2">
      <w:pPr>
        <w:ind w:left="708"/>
        <w:jc w:val="both"/>
        <w:rPr>
          <w:color w:val="000000"/>
        </w:rPr>
      </w:pPr>
    </w:p>
    <w:p w:rsidR="00BA24E0" w:rsidRDefault="00BA24E0" w:rsidP="00E209C2">
      <w:pPr>
        <w:jc w:val="both"/>
        <w:rPr>
          <w:b/>
          <w:sz w:val="28"/>
          <w:szCs w:val="28"/>
        </w:rPr>
      </w:pPr>
    </w:p>
    <w:p w:rsidR="00BA24E0" w:rsidRDefault="00BA24E0" w:rsidP="00E209C2">
      <w:pPr>
        <w:jc w:val="both"/>
        <w:rPr>
          <w:b/>
          <w:sz w:val="28"/>
          <w:szCs w:val="28"/>
        </w:rPr>
      </w:pPr>
      <w:r>
        <w:rPr>
          <w:b/>
          <w:sz w:val="28"/>
          <w:szCs w:val="28"/>
        </w:rPr>
        <w:t xml:space="preserve">Impianto a Biogas </w:t>
      </w:r>
    </w:p>
    <w:p w:rsidR="00BA24E0" w:rsidRDefault="00BA24E0" w:rsidP="00E209C2">
      <w:pPr>
        <w:jc w:val="both"/>
        <w:rPr>
          <w:b/>
          <w:sz w:val="16"/>
          <w:szCs w:val="16"/>
        </w:rPr>
      </w:pPr>
      <w:r>
        <w:rPr>
          <w:b/>
          <w:sz w:val="16"/>
          <w:szCs w:val="16"/>
        </w:rPr>
        <w:t xml:space="preserve"> </w:t>
      </w:r>
    </w:p>
    <w:p w:rsidR="00BA24E0" w:rsidRDefault="00BA24E0" w:rsidP="00E209C2">
      <w:pPr>
        <w:ind w:left="708"/>
        <w:jc w:val="both"/>
        <w:rPr>
          <w:b/>
        </w:rPr>
      </w:pPr>
      <w:r>
        <w:rPr>
          <w:b/>
        </w:rPr>
        <w:t xml:space="preserve">Tecnologia </w:t>
      </w:r>
    </w:p>
    <w:p w:rsidR="00BA24E0" w:rsidRDefault="00BA24E0" w:rsidP="00E209C2">
      <w:pPr>
        <w:ind w:left="708"/>
        <w:jc w:val="both"/>
        <w:rPr>
          <w:b/>
        </w:rPr>
      </w:pPr>
    </w:p>
    <w:p w:rsidR="00BA24E0" w:rsidRDefault="00E209C2" w:rsidP="00E209C2">
      <w:pPr>
        <w:ind w:left="708"/>
        <w:jc w:val="both"/>
      </w:pPr>
      <w:r>
        <w:rPr>
          <w:b/>
        </w:rPr>
        <w:t xml:space="preserve">ESCP </w:t>
      </w:r>
      <w:r w:rsidR="00BA24E0">
        <w:rPr>
          <w:b/>
        </w:rPr>
        <w:t xml:space="preserve"> SRL implementa soluzioni con digestione lineare ed estrazione selettiva/correttiva. </w:t>
      </w:r>
      <w:r w:rsidR="00BA24E0">
        <w:t xml:space="preserve">Il biogas è il risultato della fermentazione in assenza di ossigeno ed a determinate temperature, di matrici organiche di provenienza varia. Questo processo biologico, noto come </w:t>
      </w:r>
      <w:r w:rsidR="00BA24E0">
        <w:rPr>
          <w:i/>
          <w:iCs/>
        </w:rPr>
        <w:t>digestione anaerobica</w:t>
      </w:r>
      <w:r w:rsidR="00BA24E0">
        <w:t>, produce una miscela composta da metano e anidride carbonica e solfuri di idrogeno. La percentuale di metano nel biogas varia, a seconda del tipo di sostanza organica digerita e delle condizioni di processo, dal 50% fino all'90% circa del totale di materia gassosa prodotta, ricorrendo a prelievi mirati e rilavaggio da CO2. In punti determinati si procede ad estrarre/correggere i regimi ed in funzione dell’alimentazione di altri diversi processi (concimazioni carboniche, colture algali o produzione di ammendanti).</w:t>
      </w:r>
    </w:p>
    <w:p w:rsidR="00BA24E0" w:rsidRDefault="00BA24E0" w:rsidP="00E209C2">
      <w:pPr>
        <w:ind w:left="708"/>
        <w:jc w:val="both"/>
      </w:pPr>
      <w:r>
        <w:br/>
        <w:t>Il biogas prodotto nel digestore anaerobico, vero e proprio cuore dell'impianto, va ad alimentare in modo diretto o depurato la contigua o sovrastante piastra cogenerativa, dove si procede alla conversione più congrua in energia elettrica e termica.</w:t>
      </w:r>
    </w:p>
    <w:p w:rsidR="00BA24E0" w:rsidRDefault="00BA24E0" w:rsidP="00E209C2">
      <w:pPr>
        <w:ind w:left="708"/>
        <w:jc w:val="both"/>
      </w:pPr>
      <w:r>
        <w:br/>
        <w:t xml:space="preserve">La digestione anaerobica del materiale genera sottoprodotti che divengono input per altri processi produttivi (digestato per fertilizzare agro o serre, ammendanti da commercializzare, alimenti per impianti di colture specifiche come alghe, o produzione di CO2 per concimazione carbonica in serre, o applicazioni industriali). </w:t>
      </w:r>
      <w:r w:rsidR="00E209C2">
        <w:rPr>
          <w:b/>
        </w:rPr>
        <w:t xml:space="preserve">ESCP </w:t>
      </w:r>
      <w:r>
        <w:rPr>
          <w:b/>
        </w:rPr>
        <w:t xml:space="preserve"> SRL</w:t>
      </w:r>
      <w:r>
        <w:t xml:space="preserve"> intende alienare il concetto di “rifiuto”, si adopera per individuare la filiera in cui emerga interesse ai sottoprodotti come nuova materia prima. </w:t>
      </w:r>
    </w:p>
    <w:p w:rsidR="00BA24E0" w:rsidRDefault="00BA24E0" w:rsidP="00E209C2">
      <w:pPr>
        <w:ind w:left="708"/>
        <w:jc w:val="both"/>
      </w:pPr>
      <w:r>
        <w:br/>
        <w:t>Oltre a produrre notevoli quantità di energia elettrica, il sistema permette di recuperare il calore prodotto dal co-generatore e destinarlo a scopi rilevanti, eventualmente di trasportarlo attraverso una rete locale di teleriscaldamento, contribuendo così alla riduzione dei consumi di energia termica domestici e aziendali. Per i propri bisogni ci si approvvigiona dalle FER disponibili in loco.</w:t>
      </w:r>
    </w:p>
    <w:p w:rsidR="00BA24E0" w:rsidRDefault="00BA24E0" w:rsidP="00E209C2">
      <w:pPr>
        <w:ind w:left="708"/>
        <w:jc w:val="both"/>
      </w:pPr>
      <w:r>
        <w:br/>
      </w:r>
      <w:r>
        <w:rPr>
          <w:bCs/>
        </w:rPr>
        <w:t xml:space="preserve">La manutenzione, grazie a controlli remoti è essenzialmente predittiva, </w:t>
      </w:r>
      <w:r>
        <w:t xml:space="preserve">viene effettuata direttamente dalla rete di </w:t>
      </w:r>
      <w:r w:rsidR="00E209C2">
        <w:rPr>
          <w:b/>
        </w:rPr>
        <w:t xml:space="preserve">ESCP </w:t>
      </w:r>
      <w:r>
        <w:rPr>
          <w:b/>
        </w:rPr>
        <w:t xml:space="preserve"> SRL</w:t>
      </w:r>
      <w:r>
        <w:t xml:space="preserve"> e sue officine convenzionate su tutto il territorio nazionale ed estero, integrato da un elevato livello di supervisione dalle proprie sedi operative. </w:t>
      </w:r>
      <w:r>
        <w:rPr>
          <w:b/>
          <w:bCs/>
        </w:rPr>
        <w:t xml:space="preserve">MBGC </w:t>
      </w:r>
      <w:r>
        <w:rPr>
          <w:bCs/>
        </w:rPr>
        <w:t xml:space="preserve">si alimenta con (previe triturazioni e ricircoli in setacci congrui): </w:t>
      </w:r>
      <w:r>
        <w:t>reflui zootecnici, biomasse vegetali o mix di matrici organiche. In particolare, l'impianto si alimenta con il liquame di vacche da latte o suini, così come con il letame dei bovini da carne. In alcune situazioni è possibile intervenire con l'aggiunta di loietto, soia, paglia, triticale, sorgo zuccherino, mais, melasso, erba medica, erba insilata, sansa di olive e scarti agroindustriali oppure convertire il funzionamento da misto ad esclusivo utilizzando anche soltanto le biomasse vegetali. L'impianto si avvale di pompe trituratrici  e ricircolo attraverso specifici setacci per garantire l'omogeneità della materia all'interno dei diversi stadi digestori. La scelta delle matrici da utilizzare nel digestore viene effettuata sulla base delle disponibilità dell’operatore e della valutazione della resa energetica dei materiali presenti. Tutta l'operazione di selezione delle matrici è inoltre vagliata attentamente sotto il profilo di convenienza economico-tecnica.</w:t>
      </w:r>
    </w:p>
    <w:p w:rsidR="00BA24E0" w:rsidRDefault="00BA24E0" w:rsidP="00E209C2">
      <w:pPr>
        <w:ind w:left="708"/>
        <w:jc w:val="both"/>
        <w:rPr>
          <w:color w:val="000000"/>
        </w:rPr>
      </w:pPr>
      <w:r>
        <w:rPr>
          <w:color w:val="000000"/>
        </w:rPr>
        <w:t> </w:t>
      </w:r>
    </w:p>
    <w:p w:rsidR="00BA24E0" w:rsidRDefault="00BA24E0" w:rsidP="00E209C2">
      <w:pPr>
        <w:ind w:left="708"/>
        <w:jc w:val="both"/>
      </w:pPr>
      <w:r>
        <w:rPr>
          <w:b/>
        </w:rPr>
        <w:t>Dimensionamento -</w:t>
      </w:r>
      <w:r>
        <w:t xml:space="preserve"> </w:t>
      </w:r>
      <w:r w:rsidR="00E209C2">
        <w:rPr>
          <w:b/>
        </w:rPr>
        <w:t xml:space="preserve">ESCP </w:t>
      </w:r>
      <w:r>
        <w:rPr>
          <w:b/>
        </w:rPr>
        <w:t xml:space="preserve"> SRL</w:t>
      </w:r>
      <w:r>
        <w:t xml:space="preserve">, attraverso propri tecnici ed addetti provvederà ai dimensionamenti preliminari ed alla loro ratifica mediante analisi puntuali, in funzione delle disponibilità delle risorse edotte e con potenziali piani di conferimento attraverso analisi del territorio. In fase esecutiva di EPC-2 (Gestione) sarà parte diligente nel redigere incisivi accordi di forniture, certe e longeve. </w:t>
      </w:r>
    </w:p>
    <w:p w:rsidR="00BA24E0" w:rsidRDefault="00BA24E0" w:rsidP="00E209C2">
      <w:pPr>
        <w:ind w:left="708"/>
        <w:jc w:val="both"/>
        <w:rPr>
          <w:color w:val="000000"/>
        </w:rPr>
      </w:pPr>
      <w:r>
        <w:rPr>
          <w:color w:val="000000"/>
        </w:rPr>
        <w:t> </w:t>
      </w:r>
    </w:p>
    <w:p w:rsidR="00BA24E0" w:rsidRDefault="00BA24E0" w:rsidP="00E209C2">
      <w:pPr>
        <w:ind w:left="708"/>
        <w:jc w:val="both"/>
      </w:pPr>
      <w:r>
        <w:rPr>
          <w:b/>
        </w:rPr>
        <w:t>Iter amministrativi -</w:t>
      </w:r>
      <w:r>
        <w:t xml:space="preserve"> </w:t>
      </w:r>
      <w:r w:rsidR="00E209C2">
        <w:rPr>
          <w:b/>
        </w:rPr>
        <w:t xml:space="preserve">ESCP </w:t>
      </w:r>
      <w:r>
        <w:rPr>
          <w:b/>
        </w:rPr>
        <w:t xml:space="preserve"> SRL</w:t>
      </w:r>
      <w:r>
        <w:t xml:space="preserve">, provvede ad ogni adempimento per accompagnare la committenza all’ottenimento dei permessi necessari, previa disponibilità di dati e referenti della committenza. </w:t>
      </w:r>
    </w:p>
    <w:p w:rsidR="00BA24E0" w:rsidRPr="00155485" w:rsidRDefault="00BA24E0" w:rsidP="00E209C2">
      <w:pPr>
        <w:ind w:left="708"/>
        <w:jc w:val="both"/>
        <w:rPr>
          <w:color w:val="000000"/>
        </w:rPr>
      </w:pPr>
      <w:r>
        <w:rPr>
          <w:color w:val="000000"/>
        </w:rPr>
        <w:lastRenderedPageBreak/>
        <w:t> </w:t>
      </w:r>
    </w:p>
    <w:p w:rsidR="00BA24E0" w:rsidRDefault="00BA24E0" w:rsidP="00E209C2">
      <w:pPr>
        <w:jc w:val="both"/>
        <w:rPr>
          <w:b/>
          <w:sz w:val="28"/>
          <w:szCs w:val="28"/>
        </w:rPr>
      </w:pPr>
      <w:r>
        <w:rPr>
          <w:b/>
          <w:sz w:val="28"/>
          <w:szCs w:val="28"/>
        </w:rPr>
        <w:t xml:space="preserve">Analisi dell'investimento </w:t>
      </w:r>
    </w:p>
    <w:p w:rsidR="00BA24E0" w:rsidRDefault="00BA24E0" w:rsidP="00E209C2">
      <w:pPr>
        <w:ind w:left="708"/>
        <w:jc w:val="both"/>
        <w:rPr>
          <w:b/>
        </w:rPr>
      </w:pPr>
    </w:p>
    <w:p w:rsidR="00BA24E0" w:rsidRDefault="00BA24E0" w:rsidP="00E209C2">
      <w:pPr>
        <w:ind w:left="708"/>
        <w:jc w:val="both"/>
      </w:pPr>
      <w:r>
        <w:rPr>
          <w:b/>
          <w:bCs/>
        </w:rPr>
        <w:t>Guadagnare con MBGC</w:t>
      </w:r>
      <w:r>
        <w:t xml:space="preserve"> - </w:t>
      </w:r>
      <w:r w:rsidR="00E209C2">
        <w:rPr>
          <w:b/>
        </w:rPr>
        <w:t xml:space="preserve">ESCP </w:t>
      </w:r>
      <w:r>
        <w:rPr>
          <w:b/>
        </w:rPr>
        <w:t xml:space="preserve"> SRL </w:t>
      </w:r>
      <w:r>
        <w:t xml:space="preserve">crea ricchezza, generando un reddito nuovo e sicuro per l'azienda: l'attuale regime di incentivazione prevede la remunerazione dell'energia generata da impianti a fonte rinnovabile. Per ogni Kilowattora di energia elettrica prodotto vengono prospettate le migliori tariffe disponibili, con il conseguente miglior assetto di ritorno dell’ investimento, soprattutto quando integrato da altre proposte di intervento del portafoglio di </w:t>
      </w:r>
      <w:r w:rsidR="00E209C2">
        <w:rPr>
          <w:b/>
        </w:rPr>
        <w:t xml:space="preserve">ESCP </w:t>
      </w:r>
      <w:r>
        <w:rPr>
          <w:b/>
        </w:rPr>
        <w:t xml:space="preserve"> SRL</w:t>
      </w:r>
      <w:r>
        <w:t>.</w:t>
      </w:r>
    </w:p>
    <w:p w:rsidR="00BA24E0" w:rsidRDefault="00BA24E0" w:rsidP="00E209C2">
      <w:pPr>
        <w:ind w:left="708"/>
        <w:jc w:val="both"/>
      </w:pPr>
      <w:r>
        <w:br/>
      </w:r>
      <w:r>
        <w:rPr>
          <w:b/>
          <w:bCs/>
        </w:rPr>
        <w:t>Il "mini" conviene</w:t>
      </w:r>
      <w:r>
        <w:t xml:space="preserve"> - Da oggi, grazie anche ai nuovi regimi tariffari nazionali, scegliere il minibiogas </w:t>
      </w:r>
      <w:r>
        <w:rPr>
          <w:b/>
        </w:rPr>
        <w:t>MBGC</w:t>
      </w:r>
      <w:r>
        <w:t xml:space="preserve"> conviene. Molte regioni europee si stanno attivando per sostenere le imprese con varie tipologie di sostegno, anche a fondo perduto. Investire in </w:t>
      </w:r>
      <w:r>
        <w:rPr>
          <w:b/>
        </w:rPr>
        <w:t>MBGC</w:t>
      </w:r>
      <w:r>
        <w:t xml:space="preserve"> produce una elevata rendita netta anche e soprattutto con i soli reflui. Senza contare che l'impianto può essere la soluzione per valorizzare sottoprodotti, in vista di piani pluriennali di accordi di filiera economica ed ambientale. </w:t>
      </w:r>
    </w:p>
    <w:p w:rsidR="00BA24E0" w:rsidRDefault="00BA24E0" w:rsidP="00E209C2">
      <w:pPr>
        <w:ind w:left="708"/>
        <w:jc w:val="both"/>
      </w:pPr>
      <w:r>
        <w:t> </w:t>
      </w:r>
    </w:p>
    <w:p w:rsidR="00BA24E0" w:rsidRDefault="00BA24E0" w:rsidP="00E209C2">
      <w:pPr>
        <w:ind w:left="708"/>
        <w:jc w:val="both"/>
      </w:pPr>
      <w:r>
        <w:rPr>
          <w:b/>
        </w:rPr>
        <w:t>MBGC</w:t>
      </w:r>
      <w:r>
        <w:t xml:space="preserve"> puoi finanziarlo scegliendo tra svariati pacchetti finanziari.  </w:t>
      </w:r>
      <w:r w:rsidR="00E209C2">
        <w:rPr>
          <w:b/>
        </w:rPr>
        <w:t xml:space="preserve">ESCP </w:t>
      </w:r>
      <w:r>
        <w:rPr>
          <w:b/>
        </w:rPr>
        <w:t xml:space="preserve"> SRL </w:t>
      </w:r>
      <w:r>
        <w:t xml:space="preserve">ed i suoi partner  ti consentiranno di accedere ai migliori prodotti finanziari delle maggiori istituzioni dedicate allo sviluppo economico dei comparti agro ed industria, in Italia, in Europa e nel Mondo. </w:t>
      </w:r>
    </w:p>
    <w:p w:rsidR="00BA24E0" w:rsidRDefault="00BA24E0" w:rsidP="00E209C2">
      <w:pPr>
        <w:ind w:left="708"/>
        <w:jc w:val="both"/>
      </w:pPr>
    </w:p>
    <w:p w:rsidR="00D52875" w:rsidRDefault="00D52875" w:rsidP="00E209C2">
      <w:pPr>
        <w:ind w:left="708"/>
        <w:jc w:val="both"/>
      </w:pPr>
    </w:p>
    <w:p w:rsidR="00D52875" w:rsidRDefault="00D52875" w:rsidP="00D52875">
      <w:pPr>
        <w:ind w:left="708"/>
        <w:jc w:val="both"/>
      </w:pPr>
      <w:r>
        <w:t xml:space="preserve">NB – Di seguito si emula </w:t>
      </w:r>
      <w:r w:rsidR="008E722F">
        <w:t xml:space="preserve">un </w:t>
      </w:r>
      <w:r>
        <w:t xml:space="preserve">intervento </w:t>
      </w:r>
      <w:r w:rsidR="008E722F">
        <w:t xml:space="preserve">da </w:t>
      </w:r>
      <w:r w:rsidR="008E722F" w:rsidRPr="008E722F">
        <w:rPr>
          <w:b/>
        </w:rPr>
        <w:t>7 KW</w:t>
      </w:r>
      <w:r w:rsidR="008E722F">
        <w:t xml:space="preserve">, </w:t>
      </w:r>
      <w:r>
        <w:t xml:space="preserve">per ente (Farm. Lab 2.0) da circa 5 t/plv </w:t>
      </w:r>
      <w:r w:rsidR="00A607FE">
        <w:t xml:space="preserve">e  </w:t>
      </w:r>
      <w:smartTag w:uri="urn:schemas-microsoft-com:office:smarttags" w:element="metricconverter">
        <w:smartTagPr>
          <w:attr w:name="ProductID" w:val="10 ha"/>
        </w:smartTagPr>
        <w:r w:rsidR="0029521B">
          <w:t>10</w:t>
        </w:r>
        <w:r>
          <w:t xml:space="preserve"> ha</w:t>
        </w:r>
      </w:smartTag>
      <w:r>
        <w:t>.</w:t>
      </w:r>
    </w:p>
    <w:p w:rsidR="00BA24E0" w:rsidRDefault="00BA24E0" w:rsidP="00E209C2">
      <w:pPr>
        <w:pBdr>
          <w:top w:val="single" w:sz="4" w:space="1" w:color="auto"/>
          <w:left w:val="single" w:sz="4" w:space="4" w:color="auto"/>
          <w:bottom w:val="single" w:sz="4" w:space="1" w:color="auto"/>
          <w:right w:val="single" w:sz="4" w:space="4" w:color="auto"/>
        </w:pBdr>
        <w:ind w:left="708"/>
        <w:jc w:val="both"/>
      </w:pPr>
      <w:r>
        <w:t>L’investimento è stimato in 122</w:t>
      </w:r>
      <w:r>
        <w:rPr>
          <w:b/>
        </w:rPr>
        <w:t>.000 €,</w:t>
      </w:r>
      <w:r>
        <w:t xml:space="preserve"> con ritorno in 4.8 anni (vedi prospetto allegato), il progetto prevede un assetto da </w:t>
      </w:r>
      <w:r>
        <w:rPr>
          <w:b/>
        </w:rPr>
        <w:t>7 KW</w:t>
      </w:r>
      <w:r>
        <w:t>, con ricavi annui di 38.800 €/anno e costi per 5.700 €/anno. Ad esso si aggiungono i benefici fiscali e la leva finanziaria attivata.</w:t>
      </w:r>
    </w:p>
    <w:p w:rsidR="00BA24E0" w:rsidRDefault="00BA24E0" w:rsidP="00E209C2">
      <w:pPr>
        <w:ind w:left="708"/>
        <w:jc w:val="both"/>
        <w:rPr>
          <w:color w:val="000000"/>
        </w:rPr>
      </w:pPr>
      <w:r>
        <w:rPr>
          <w:color w:val="000000"/>
        </w:rPr>
        <w:t> </w:t>
      </w:r>
    </w:p>
    <w:p w:rsidR="00BA24E0" w:rsidRDefault="00BA24E0" w:rsidP="00E209C2">
      <w:pPr>
        <w:jc w:val="both"/>
        <w:rPr>
          <w:b/>
          <w:sz w:val="28"/>
          <w:szCs w:val="28"/>
        </w:rPr>
      </w:pPr>
      <w:r>
        <w:rPr>
          <w:b/>
          <w:sz w:val="28"/>
          <w:szCs w:val="28"/>
        </w:rPr>
        <w:t>Conclusioni</w:t>
      </w:r>
    </w:p>
    <w:p w:rsidR="00BA24E0" w:rsidRDefault="00BA24E0" w:rsidP="00E209C2">
      <w:pPr>
        <w:ind w:left="708"/>
        <w:jc w:val="both"/>
        <w:rPr>
          <w:b/>
        </w:rPr>
      </w:pPr>
    </w:p>
    <w:p w:rsidR="00BA24E0" w:rsidRDefault="00E209C2" w:rsidP="00E209C2">
      <w:pPr>
        <w:ind w:left="708"/>
        <w:jc w:val="both"/>
        <w:rPr>
          <w:b/>
        </w:rPr>
      </w:pPr>
      <w:r>
        <w:rPr>
          <w:b/>
        </w:rPr>
        <w:t xml:space="preserve">ESCP </w:t>
      </w:r>
      <w:r w:rsidR="00BA24E0">
        <w:rPr>
          <w:b/>
        </w:rPr>
        <w:t xml:space="preserve"> SRL,</w:t>
      </w:r>
      <w:r w:rsidR="00BA24E0">
        <w:t xml:space="preserve"> dalle potenzialità edotte, propone un approfondimento mediante analisi puntuali. Attraverso una visita di un nostro referente amministrativo e tecnico, predisporre prelievi e congrue analisi sui campioni o realtà in essere, per poter procedere ad una proposta operativa da contrattualizzare. </w:t>
      </w:r>
    </w:p>
    <w:p w:rsidR="00BA24E0" w:rsidRDefault="00E209C2" w:rsidP="00E209C2">
      <w:pPr>
        <w:jc w:val="both"/>
        <w:rPr>
          <w:color w:val="000000"/>
        </w:rPr>
      </w:pPr>
      <w:r>
        <w:rPr>
          <w:color w:val="000000"/>
        </w:rPr>
        <w:t xml:space="preserve"> </w:t>
      </w:r>
    </w:p>
    <w:p w:rsidR="00BA24E0" w:rsidRDefault="00BA24E0" w:rsidP="00E209C2">
      <w:pPr>
        <w:ind w:left="-180"/>
        <w:jc w:val="both"/>
      </w:pPr>
      <w:r>
        <w:br w:type="page"/>
      </w:r>
    </w:p>
    <w:tbl>
      <w:tblPr>
        <w:tblW w:w="9600" w:type="dxa"/>
        <w:tblInd w:w="60" w:type="dxa"/>
        <w:tblCellMar>
          <w:left w:w="70" w:type="dxa"/>
          <w:right w:w="70" w:type="dxa"/>
        </w:tblCellMar>
        <w:tblLook w:val="0000"/>
      </w:tblPr>
      <w:tblGrid>
        <w:gridCol w:w="220"/>
        <w:gridCol w:w="2888"/>
        <w:gridCol w:w="1136"/>
        <w:gridCol w:w="755"/>
        <w:gridCol w:w="981"/>
        <w:gridCol w:w="776"/>
        <w:gridCol w:w="1236"/>
        <w:gridCol w:w="1708"/>
      </w:tblGrid>
      <w:tr w:rsidR="00BA24E0" w:rsidRPr="00430869">
        <w:trPr>
          <w:trHeight w:val="525"/>
        </w:trPr>
        <w:tc>
          <w:tcPr>
            <w:tcW w:w="3008" w:type="dxa"/>
            <w:gridSpan w:val="2"/>
            <w:tcBorders>
              <w:top w:val="single" w:sz="8" w:space="0" w:color="auto"/>
              <w:left w:val="single" w:sz="8" w:space="0" w:color="auto"/>
              <w:bottom w:val="nil"/>
              <w:right w:val="nil"/>
            </w:tcBorders>
            <w:shd w:val="clear" w:color="auto" w:fill="auto"/>
            <w:noWrap/>
            <w:vAlign w:val="bottom"/>
          </w:tcPr>
          <w:p w:rsidR="00BA24E0" w:rsidRPr="00430869" w:rsidRDefault="00E209C2" w:rsidP="00E209C2">
            <w:pPr>
              <w:jc w:val="both"/>
              <w:rPr>
                <w:rFonts w:cs="Arial"/>
                <w:b/>
                <w:bCs/>
                <w:sz w:val="28"/>
                <w:szCs w:val="28"/>
              </w:rPr>
            </w:pPr>
            <w:r>
              <w:rPr>
                <w:rFonts w:cs="Arial"/>
                <w:b/>
                <w:bCs/>
                <w:sz w:val="28"/>
                <w:szCs w:val="28"/>
              </w:rPr>
              <w:t>ESCP Srl</w:t>
            </w:r>
            <w:r w:rsidR="00BA24E0" w:rsidRPr="00430869">
              <w:rPr>
                <w:rFonts w:cs="Arial"/>
                <w:b/>
                <w:bCs/>
                <w:sz w:val="28"/>
                <w:szCs w:val="28"/>
              </w:rPr>
              <w:t xml:space="preserve"> </w:t>
            </w:r>
          </w:p>
        </w:tc>
        <w:tc>
          <w:tcPr>
            <w:tcW w:w="11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b/>
                <w:bCs/>
              </w:rPr>
            </w:pPr>
            <w:r w:rsidRPr="00430869">
              <w:rPr>
                <w:rFonts w:cs="Arial"/>
                <w:b/>
                <w:bCs/>
              </w:rPr>
              <w:t>MBGC</w:t>
            </w:r>
          </w:p>
        </w:tc>
        <w:tc>
          <w:tcPr>
            <w:tcW w:w="1736" w:type="dxa"/>
            <w:gridSpan w:val="2"/>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MiniBioGasContinuous</w:t>
            </w:r>
          </w:p>
        </w:tc>
        <w:tc>
          <w:tcPr>
            <w:tcW w:w="77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xml:space="preserve"> </w:t>
            </w:r>
          </w:p>
        </w:tc>
        <w:tc>
          <w:tcPr>
            <w:tcW w:w="12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708" w:type="dxa"/>
            <w:tcBorders>
              <w:top w:val="single" w:sz="8"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single" w:sz="8" w:space="0" w:color="auto"/>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2888"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1891" w:type="dxa"/>
            <w:gridSpan w:val="2"/>
            <w:tcBorders>
              <w:top w:val="single" w:sz="8" w:space="0" w:color="auto"/>
              <w:left w:val="single" w:sz="8" w:space="0" w:color="auto"/>
              <w:bottom w:val="nil"/>
              <w:right w:val="nil"/>
            </w:tcBorders>
            <w:shd w:val="clear" w:color="auto" w:fill="00FF00"/>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Proposta BIOGAS</w:t>
            </w:r>
          </w:p>
        </w:tc>
        <w:tc>
          <w:tcPr>
            <w:tcW w:w="981" w:type="dxa"/>
            <w:tcBorders>
              <w:top w:val="single" w:sz="8" w:space="0" w:color="auto"/>
              <w:left w:val="nil"/>
              <w:bottom w:val="nil"/>
              <w:right w:val="nil"/>
            </w:tcBorders>
            <w:shd w:val="clear" w:color="auto" w:fill="00FF00"/>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776" w:type="dxa"/>
            <w:tcBorders>
              <w:top w:val="single" w:sz="8" w:space="0" w:color="auto"/>
              <w:left w:val="nil"/>
              <w:bottom w:val="nil"/>
              <w:right w:val="single" w:sz="8" w:space="0" w:color="auto"/>
            </w:tcBorders>
            <w:shd w:val="clear" w:color="auto" w:fill="00FF00"/>
            <w:noWrap/>
            <w:vAlign w:val="bottom"/>
          </w:tcPr>
          <w:p w:rsidR="00BA24E0" w:rsidRPr="00430869" w:rsidRDefault="00BA24E0" w:rsidP="00E209C2">
            <w:pPr>
              <w:jc w:val="both"/>
              <w:rPr>
                <w:rFonts w:cs="Arial"/>
                <w:b/>
                <w:bCs/>
                <w:sz w:val="16"/>
                <w:szCs w:val="16"/>
              </w:rPr>
            </w:pPr>
            <w:r w:rsidRPr="00430869">
              <w:rPr>
                <w:rFonts w:cs="Arial"/>
                <w:b/>
                <w:bCs/>
                <w:sz w:val="16"/>
                <w:szCs w:val="16"/>
              </w:rPr>
              <w:t> </w:t>
            </w:r>
          </w:p>
        </w:tc>
        <w:tc>
          <w:tcPr>
            <w:tcW w:w="12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i/>
                <w:iCs/>
                <w:sz w:val="16"/>
                <w:szCs w:val="16"/>
              </w:rPr>
            </w:pPr>
            <w:r w:rsidRPr="00430869">
              <w:rPr>
                <w:rFonts w:ascii="Geneva" w:hAnsi="Geneva" w:cs="Arial"/>
                <w:b/>
                <w:bCs/>
                <w:i/>
                <w:iCs/>
                <w:sz w:val="16"/>
                <w:szCs w:val="16"/>
              </w:rPr>
              <w:t> </w:t>
            </w:r>
          </w:p>
        </w:tc>
        <w:tc>
          <w:tcPr>
            <w:tcW w:w="1708" w:type="dxa"/>
            <w:tcBorders>
              <w:top w:val="single" w:sz="8" w:space="0" w:color="auto"/>
              <w:left w:val="nil"/>
              <w:bottom w:val="nil"/>
              <w:right w:val="single" w:sz="8" w:space="0" w:color="auto"/>
            </w:tcBorders>
            <w:shd w:val="clear" w:color="auto" w:fill="auto"/>
            <w:noWrap/>
            <w:vAlign w:val="bottom"/>
          </w:tcPr>
          <w:p w:rsidR="00BA24E0" w:rsidRPr="00430869" w:rsidRDefault="00E74E59" w:rsidP="00E209C2">
            <w:pPr>
              <w:jc w:val="both"/>
              <w:rPr>
                <w:rFonts w:ascii="Geneva" w:hAnsi="Geneva" w:cs="Arial"/>
                <w:b/>
                <w:bCs/>
                <w:i/>
                <w:iCs/>
                <w:sz w:val="16"/>
                <w:szCs w:val="16"/>
              </w:rPr>
            </w:pPr>
            <w:r>
              <w:rPr>
                <w:rFonts w:ascii="Geneva" w:hAnsi="Geneva" w:cs="Arial"/>
                <w:b/>
                <w:bCs/>
                <w:i/>
                <w:iCs/>
                <w:sz w:val="16"/>
                <w:szCs w:val="16"/>
              </w:rPr>
              <w:t>2015</w:t>
            </w:r>
          </w:p>
        </w:tc>
      </w:tr>
      <w:tr w:rsidR="00BA24E0" w:rsidRPr="00430869">
        <w:trPr>
          <w:trHeight w:val="240"/>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1891" w:type="dxa"/>
            <w:gridSpan w:val="2"/>
            <w:tcBorders>
              <w:top w:val="nil"/>
              <w:left w:val="single" w:sz="8" w:space="0" w:color="auto"/>
              <w:bottom w:val="single" w:sz="8" w:space="0" w:color="auto"/>
              <w:right w:val="nil"/>
            </w:tcBorders>
            <w:shd w:val="clear" w:color="auto" w:fill="auto"/>
            <w:noWrap/>
            <w:vAlign w:val="bottom"/>
          </w:tcPr>
          <w:p w:rsidR="00BA24E0" w:rsidRPr="00430869" w:rsidRDefault="00E209C2" w:rsidP="00E209C2">
            <w:pPr>
              <w:jc w:val="both"/>
              <w:rPr>
                <w:rFonts w:ascii="Geneva" w:hAnsi="Geneva" w:cs="Arial"/>
                <w:b/>
                <w:bCs/>
                <w:sz w:val="16"/>
                <w:szCs w:val="16"/>
              </w:rPr>
            </w:pPr>
            <w:r>
              <w:rPr>
                <w:rFonts w:ascii="Geneva" w:hAnsi="Geneva" w:cs="Arial"/>
                <w:b/>
                <w:bCs/>
                <w:sz w:val="16"/>
                <w:szCs w:val="16"/>
              </w:rPr>
              <w:t xml:space="preserve">Lab. Farm 2.0 </w:t>
            </w:r>
            <w:r w:rsidR="00E74E59">
              <w:rPr>
                <w:rFonts w:ascii="Geneva" w:hAnsi="Geneva" w:cs="Arial"/>
                <w:b/>
                <w:bCs/>
                <w:sz w:val="16"/>
                <w:szCs w:val="16"/>
              </w:rPr>
              <w:t>/</w:t>
            </w:r>
            <w:r w:rsidR="00BA24E0" w:rsidRPr="00430869">
              <w:rPr>
                <w:rFonts w:ascii="Geneva" w:hAnsi="Geneva" w:cs="Arial"/>
                <w:b/>
                <w:bCs/>
                <w:sz w:val="16"/>
                <w:szCs w:val="16"/>
              </w:rPr>
              <w:t>medium</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i/>
                <w:iCs/>
                <w:sz w:val="16"/>
                <w:szCs w:val="16"/>
              </w:rPr>
            </w:pPr>
            <w:r w:rsidRPr="00430869">
              <w:rPr>
                <w:rFonts w:cs="Arial"/>
                <w:b/>
                <w:bCs/>
                <w:i/>
                <w:iCs/>
                <w:sz w:val="16"/>
                <w:szCs w:val="16"/>
              </w:rPr>
              <w:t>€/KWh</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b/>
                <w:bCs/>
                <w:i/>
                <w:iCs/>
                <w:sz w:val="16"/>
                <w:szCs w:val="16"/>
              </w:rPr>
            </w:pPr>
            <w:r w:rsidRPr="00430869">
              <w:rPr>
                <w:rFonts w:cs="Arial"/>
                <w:b/>
                <w:bCs/>
                <w:i/>
                <w:iCs/>
                <w:sz w:val="16"/>
                <w:szCs w:val="16"/>
              </w:rPr>
              <w:t>0,276</w:t>
            </w:r>
          </w:p>
        </w:tc>
      </w:tr>
      <w:tr w:rsidR="00BA24E0" w:rsidRPr="00430869">
        <w:trPr>
          <w:trHeight w:val="225"/>
        </w:trPr>
        <w:tc>
          <w:tcPr>
            <w:tcW w:w="3008" w:type="dxa"/>
            <w:gridSpan w:val="2"/>
            <w:tcBorders>
              <w:top w:val="single" w:sz="8" w:space="0" w:color="auto"/>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Tipo di impianto</w:t>
            </w:r>
          </w:p>
        </w:tc>
        <w:tc>
          <w:tcPr>
            <w:tcW w:w="2872" w:type="dxa"/>
            <w:gridSpan w:val="3"/>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Impianto digestione anaerobica</w:t>
            </w:r>
          </w:p>
        </w:tc>
        <w:tc>
          <w:tcPr>
            <w:tcW w:w="776"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i/>
                <w:iCs/>
                <w:sz w:val="16"/>
                <w:szCs w:val="16"/>
              </w:rPr>
            </w:pPr>
            <w:r w:rsidRPr="00430869">
              <w:rPr>
                <w:rFonts w:ascii="Geneva" w:hAnsi="Geneva" w:cs="Arial"/>
                <w:b/>
                <w:bCs/>
                <w:i/>
                <w:iCs/>
                <w:sz w:val="16"/>
                <w:szCs w:val="16"/>
              </w:rPr>
              <w:t>kW</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ascii="Geneva" w:hAnsi="Geneva" w:cs="Arial"/>
                <w:b/>
                <w:bCs/>
                <w:i/>
                <w:iCs/>
                <w:sz w:val="16"/>
                <w:szCs w:val="16"/>
              </w:rPr>
            </w:pPr>
            <w:r w:rsidRPr="00430869">
              <w:rPr>
                <w:rFonts w:ascii="Geneva" w:hAnsi="Geneva" w:cs="Arial"/>
                <w:b/>
                <w:bCs/>
                <w:i/>
                <w:iCs/>
                <w:sz w:val="16"/>
                <w:szCs w:val="16"/>
              </w:rPr>
              <w:t>7</w:t>
            </w:r>
          </w:p>
        </w:tc>
      </w:tr>
      <w:tr w:rsidR="00BA24E0" w:rsidRPr="00430869">
        <w:trPr>
          <w:trHeight w:val="225"/>
        </w:trPr>
        <w:tc>
          <w:tcPr>
            <w:tcW w:w="3008" w:type="dxa"/>
            <w:gridSpan w:val="2"/>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Risorse prevalenti</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xml:space="preserve">SOA - 2/3 </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776"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i/>
                <w:iCs/>
                <w:sz w:val="16"/>
                <w:szCs w:val="16"/>
              </w:rPr>
            </w:pPr>
            <w:r w:rsidRPr="00430869">
              <w:rPr>
                <w:rFonts w:ascii="Geneva" w:hAnsi="Geneva" w:cs="Arial"/>
                <w:b/>
                <w:bCs/>
                <w:i/>
                <w:iCs/>
                <w:sz w:val="16"/>
                <w:szCs w:val="16"/>
              </w:rPr>
              <w:t>h</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ascii="Geneva" w:hAnsi="Geneva" w:cs="Arial"/>
                <w:b/>
                <w:bCs/>
                <w:i/>
                <w:iCs/>
                <w:sz w:val="16"/>
                <w:szCs w:val="16"/>
              </w:rPr>
            </w:pPr>
            <w:r w:rsidRPr="00430869">
              <w:rPr>
                <w:rFonts w:ascii="Geneva" w:hAnsi="Geneva" w:cs="Arial"/>
                <w:b/>
                <w:bCs/>
                <w:i/>
                <w:iCs/>
                <w:sz w:val="16"/>
                <w:szCs w:val="16"/>
              </w:rPr>
              <w:t>8.000</w:t>
            </w:r>
          </w:p>
        </w:tc>
      </w:tr>
      <w:tr w:rsidR="00BA24E0" w:rsidRPr="00430869">
        <w:trPr>
          <w:trHeight w:val="240"/>
        </w:trPr>
        <w:tc>
          <w:tcPr>
            <w:tcW w:w="3008" w:type="dxa"/>
            <w:gridSpan w:val="2"/>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Quantità (standard) in t/a</w:t>
            </w:r>
          </w:p>
        </w:tc>
        <w:tc>
          <w:tcPr>
            <w:tcW w:w="11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151</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20</w:t>
            </w:r>
          </w:p>
        </w:tc>
        <w:tc>
          <w:tcPr>
            <w:tcW w:w="1757" w:type="dxa"/>
            <w:gridSpan w:val="2"/>
            <w:tcBorders>
              <w:top w:val="nil"/>
              <w:left w:val="nil"/>
              <w:bottom w:val="single" w:sz="8" w:space="0" w:color="auto"/>
              <w:right w:val="single" w:sz="8" w:space="0" w:color="000000"/>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anni di fornitura</w:t>
            </w: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MWh/a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55</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qty</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oneri €/t</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fp</w:t>
            </w: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 </w:t>
            </w:r>
          </w:p>
        </w:tc>
        <w:tc>
          <w:tcPr>
            <w:tcW w:w="12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1708" w:type="dxa"/>
            <w:tcBorders>
              <w:top w:val="single" w:sz="8"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0,00</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10,000</w:t>
            </w:r>
          </w:p>
        </w:tc>
        <w:tc>
          <w:tcPr>
            <w:tcW w:w="3720" w:type="dxa"/>
            <w:gridSpan w:val="3"/>
            <w:tcBorders>
              <w:top w:val="nil"/>
              <w:left w:val="nil"/>
              <w:bottom w:val="nil"/>
              <w:right w:val="single" w:sz="8" w:space="0" w:color="000000"/>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ha   Agro (pianura, collina, altro) - dato CONESTABILE</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0,00</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3,000</w:t>
            </w:r>
          </w:p>
        </w:tc>
        <w:tc>
          <w:tcPr>
            <w:tcW w:w="3720" w:type="dxa"/>
            <w:gridSpan w:val="3"/>
            <w:tcBorders>
              <w:top w:val="nil"/>
              <w:left w:val="nil"/>
              <w:bottom w:val="nil"/>
              <w:right w:val="single" w:sz="8" w:space="0" w:color="000000"/>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 xml:space="preserve">cba   (bovini, suini, avicoli,  500 plv </w:t>
            </w:r>
            <w:smartTag w:uri="urn:schemas-microsoft-com:office:smarttags" w:element="metricconverter">
              <w:smartTagPr>
                <w:attr w:name="ProductID" w:val="500 kg"/>
              </w:smartTagPr>
              <w:r w:rsidRPr="00430869">
                <w:rPr>
                  <w:rFonts w:ascii="Geneva" w:hAnsi="Geneva" w:cs="Arial"/>
                  <w:sz w:val="12"/>
                  <w:szCs w:val="12"/>
                </w:rPr>
                <w:t>500 kg</w:t>
              </w:r>
            </w:smartTag>
            <w:r w:rsidRPr="00430869">
              <w:rPr>
                <w:rFonts w:ascii="Geneva" w:hAnsi="Geneva" w:cs="Arial"/>
                <w:sz w:val="12"/>
                <w:szCs w:val="12"/>
              </w:rPr>
              <w:t>)</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0,00</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1,236</w:t>
            </w:r>
          </w:p>
        </w:tc>
        <w:tc>
          <w:tcPr>
            <w:tcW w:w="3720" w:type="dxa"/>
            <w:gridSpan w:val="3"/>
            <w:tcBorders>
              <w:top w:val="nil"/>
              <w:left w:val="nil"/>
              <w:bottom w:val="nil"/>
              <w:right w:val="single" w:sz="8" w:space="0" w:color="000000"/>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t/a   Reflui zootecnici (bovino, suino, avicolo.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144</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0,00</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1,050</w:t>
            </w:r>
          </w:p>
        </w:tc>
        <w:tc>
          <w:tcPr>
            <w:tcW w:w="2012" w:type="dxa"/>
            <w:gridSpan w:val="2"/>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t/a   Scarti organici - Ho.Re.Ca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0,00</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1,000</w:t>
            </w:r>
          </w:p>
        </w:tc>
        <w:tc>
          <w:tcPr>
            <w:tcW w:w="3720" w:type="dxa"/>
            <w:gridSpan w:val="3"/>
            <w:tcBorders>
              <w:top w:val="nil"/>
              <w:left w:val="nil"/>
              <w:bottom w:val="nil"/>
              <w:right w:val="single" w:sz="8" w:space="0" w:color="000000"/>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t/a   Colture energetiche (mais, triticale, sorgo,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136"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0,00</w:t>
            </w: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0,551</w:t>
            </w:r>
          </w:p>
        </w:tc>
        <w:tc>
          <w:tcPr>
            <w:tcW w:w="3720" w:type="dxa"/>
            <w:gridSpan w:val="3"/>
            <w:tcBorders>
              <w:top w:val="nil"/>
              <w:left w:val="nil"/>
              <w:bottom w:val="nil"/>
              <w:right w:val="single" w:sz="8" w:space="0" w:color="000000"/>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t/a   SOA (fanghi, scarti macelleria, …)</w:t>
            </w:r>
          </w:p>
        </w:tc>
      </w:tr>
      <w:tr w:rsidR="00BA24E0" w:rsidRPr="00430869">
        <w:trPr>
          <w:trHeight w:val="240"/>
        </w:trPr>
        <w:tc>
          <w:tcPr>
            <w:tcW w:w="120"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2888"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136"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0</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0,00</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0,407</w:t>
            </w:r>
          </w:p>
        </w:tc>
        <w:tc>
          <w:tcPr>
            <w:tcW w:w="77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sz w:val="12"/>
                <w:szCs w:val="12"/>
              </w:rPr>
            </w:pPr>
            <w:r w:rsidRPr="00430869">
              <w:rPr>
                <w:rFonts w:ascii="Geneva" w:hAnsi="Geneva" w:cs="Arial"/>
                <w:sz w:val="12"/>
                <w:szCs w:val="12"/>
              </w:rPr>
              <w:t>n AE - anno</w:t>
            </w:r>
          </w:p>
        </w:tc>
        <w:tc>
          <w:tcPr>
            <w:tcW w:w="12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708"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70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r>
      <w:tr w:rsidR="00BA24E0" w:rsidRPr="00430869">
        <w:trPr>
          <w:trHeight w:val="225"/>
        </w:trPr>
        <w:tc>
          <w:tcPr>
            <w:tcW w:w="3008" w:type="dxa"/>
            <w:gridSpan w:val="2"/>
            <w:tcBorders>
              <w:top w:val="single" w:sz="8" w:space="0" w:color="auto"/>
              <w:left w:val="single" w:sz="8" w:space="0" w:color="auto"/>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Prezzo di impianto TOTALE</w:t>
            </w:r>
          </w:p>
        </w:tc>
        <w:tc>
          <w:tcPr>
            <w:tcW w:w="11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122.272</w:t>
            </w:r>
          </w:p>
        </w:tc>
        <w:tc>
          <w:tcPr>
            <w:tcW w:w="2512" w:type="dxa"/>
            <w:gridSpan w:val="3"/>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xml:space="preserve"> </w:t>
            </w:r>
          </w:p>
        </w:tc>
        <w:tc>
          <w:tcPr>
            <w:tcW w:w="12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single" w:sz="8"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Opere Civili</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25.755</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Imp. Meccanici e cogenerative</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77.265</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Gestione remota</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2.415</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4</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Opere di allaccio</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6.600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5</w:t>
            </w:r>
          </w:p>
        </w:tc>
        <w:tc>
          <w:tcPr>
            <w:tcW w:w="2888"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Pratiche autorizzative, TICA</w:t>
            </w:r>
          </w:p>
        </w:tc>
        <w:tc>
          <w:tcPr>
            <w:tcW w:w="11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10.238</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c>
          <w:tcPr>
            <w:tcW w:w="170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r>
      <w:tr w:rsidR="00BA24E0" w:rsidRPr="00430869">
        <w:trPr>
          <w:trHeight w:val="225"/>
        </w:trPr>
        <w:tc>
          <w:tcPr>
            <w:tcW w:w="3008" w:type="dxa"/>
            <w:gridSpan w:val="2"/>
            <w:tcBorders>
              <w:top w:val="single" w:sz="8" w:space="0" w:color="auto"/>
              <w:left w:val="single" w:sz="8" w:space="0" w:color="auto"/>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Ricavi di esercizio TOTALE</w:t>
            </w:r>
          </w:p>
        </w:tc>
        <w:tc>
          <w:tcPr>
            <w:tcW w:w="11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38.861</w:t>
            </w:r>
          </w:p>
        </w:tc>
        <w:tc>
          <w:tcPr>
            <w:tcW w:w="2512" w:type="dxa"/>
            <w:gridSpan w:val="3"/>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xml:space="preserve"> </w:t>
            </w:r>
          </w:p>
        </w:tc>
        <w:tc>
          <w:tcPr>
            <w:tcW w:w="12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single" w:sz="8"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single" w:sz="4" w:space="0" w:color="auto"/>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w:t>
            </w:r>
          </w:p>
        </w:tc>
        <w:tc>
          <w:tcPr>
            <w:tcW w:w="2888"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Tariffa omnicomprensiva</w:t>
            </w:r>
          </w:p>
        </w:tc>
        <w:tc>
          <w:tcPr>
            <w:tcW w:w="1136"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15.175</w:t>
            </w:r>
          </w:p>
        </w:tc>
        <w:tc>
          <w:tcPr>
            <w:tcW w:w="755"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single" w:sz="4"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w:t>
            </w:r>
          </w:p>
        </w:tc>
        <w:tc>
          <w:tcPr>
            <w:tcW w:w="2888"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Tariffe altre</w:t>
            </w:r>
          </w:p>
        </w:tc>
        <w:tc>
          <w:tcPr>
            <w:tcW w:w="113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12.096</w:t>
            </w:r>
          </w:p>
        </w:tc>
        <w:tc>
          <w:tcPr>
            <w:tcW w:w="755"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single" w:sz="4"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Energia elettrica</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4</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Scarti agroalimetari</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5</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Ramaglie</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6</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Ricavi da smaltimenti evitati</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11.590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7</w:t>
            </w:r>
          </w:p>
        </w:tc>
        <w:tc>
          <w:tcPr>
            <w:tcW w:w="2888"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Altro</w:t>
            </w:r>
          </w:p>
        </w:tc>
        <w:tc>
          <w:tcPr>
            <w:tcW w:w="11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3008" w:type="dxa"/>
            <w:gridSpan w:val="2"/>
            <w:tcBorders>
              <w:top w:val="single" w:sz="8" w:space="0" w:color="auto"/>
              <w:left w:val="single" w:sz="8" w:space="0" w:color="auto"/>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Costi di esercizio TOTALE</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5.672</w:t>
            </w:r>
          </w:p>
        </w:tc>
        <w:tc>
          <w:tcPr>
            <w:tcW w:w="2512" w:type="dxa"/>
            <w:gridSpan w:val="3"/>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xml:space="preserve"> </w:t>
            </w: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Manuenzioni ed Assicurazioni</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3.884</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Human Resource</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Input Energia</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1.788</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4</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Input Materie Prime (BIO)</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5</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Locazioni (Spazi, Macchine, …)</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6</w:t>
            </w:r>
          </w:p>
        </w:tc>
        <w:tc>
          <w:tcPr>
            <w:tcW w:w="2888"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Altro</w:t>
            </w:r>
          </w:p>
        </w:tc>
        <w:tc>
          <w:tcPr>
            <w:tcW w:w="11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2888"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Utile lordo</w:t>
            </w:r>
          </w:p>
        </w:tc>
        <w:tc>
          <w:tcPr>
            <w:tcW w:w="11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33.189</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77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xml:space="preserve"> </w:t>
            </w:r>
          </w:p>
        </w:tc>
        <w:tc>
          <w:tcPr>
            <w:tcW w:w="12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ascii="Geneva" w:hAnsi="Geneva" w:cs="Arial"/>
                <w:sz w:val="16"/>
                <w:szCs w:val="16"/>
              </w:rPr>
            </w:pPr>
            <w:r w:rsidRPr="00430869">
              <w:rPr>
                <w:rFonts w:ascii="Geneva" w:hAnsi="Geneva" w:cs="Arial"/>
                <w:sz w:val="16"/>
                <w:szCs w:val="16"/>
              </w:rPr>
              <w:t>Euro/a</w:t>
            </w:r>
          </w:p>
        </w:tc>
        <w:tc>
          <w:tcPr>
            <w:tcW w:w="1708"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40"/>
        </w:trPr>
        <w:tc>
          <w:tcPr>
            <w:tcW w:w="120"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ascii="Geneva" w:hAnsi="Geneva" w:cs="Arial"/>
                <w:sz w:val="16"/>
                <w:szCs w:val="16"/>
              </w:rPr>
            </w:pPr>
          </w:p>
        </w:tc>
        <w:tc>
          <w:tcPr>
            <w:tcW w:w="1708"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r>
      <w:tr w:rsidR="00BA24E0" w:rsidRPr="00430869">
        <w:trPr>
          <w:trHeight w:val="225"/>
        </w:trPr>
        <w:tc>
          <w:tcPr>
            <w:tcW w:w="3008" w:type="dxa"/>
            <w:gridSpan w:val="2"/>
            <w:tcBorders>
              <w:top w:val="single" w:sz="8" w:space="0" w:color="auto"/>
              <w:left w:val="single" w:sz="8" w:space="0" w:color="auto"/>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Piano economico-finanziario</w:t>
            </w:r>
          </w:p>
        </w:tc>
        <w:tc>
          <w:tcPr>
            <w:tcW w:w="11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2013</w:t>
            </w:r>
          </w:p>
        </w:tc>
        <w:tc>
          <w:tcPr>
            <w:tcW w:w="2512" w:type="dxa"/>
            <w:gridSpan w:val="3"/>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xml:space="preserve"> </w:t>
            </w:r>
          </w:p>
        </w:tc>
        <w:tc>
          <w:tcPr>
            <w:tcW w:w="1236" w:type="dxa"/>
            <w:tcBorders>
              <w:top w:val="single" w:sz="8"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anno</w:t>
            </w:r>
          </w:p>
        </w:tc>
        <w:tc>
          <w:tcPr>
            <w:tcW w:w="1708" w:type="dxa"/>
            <w:tcBorders>
              <w:top w:val="single" w:sz="8"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single" w:sz="4" w:space="0" w:color="auto"/>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1</w:t>
            </w:r>
          </w:p>
        </w:tc>
        <w:tc>
          <w:tcPr>
            <w:tcW w:w="2888"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xml:space="preserve">Progetto </w:t>
            </w:r>
          </w:p>
        </w:tc>
        <w:tc>
          <w:tcPr>
            <w:tcW w:w="1136"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122.272</w:t>
            </w:r>
          </w:p>
        </w:tc>
        <w:tc>
          <w:tcPr>
            <w:tcW w:w="755"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981"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776"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ascii="Geneva" w:hAnsi="Geneva" w:cs="Arial"/>
                <w:b/>
                <w:bCs/>
                <w:sz w:val="16"/>
                <w:szCs w:val="16"/>
              </w:rPr>
            </w:pPr>
            <w:r w:rsidRPr="00430869">
              <w:rPr>
                <w:rFonts w:ascii="Geneva" w:hAnsi="Geneva" w:cs="Arial"/>
                <w:b/>
                <w:bCs/>
                <w:sz w:val="16"/>
                <w:szCs w:val="16"/>
              </w:rPr>
              <w:t> </w:t>
            </w:r>
          </w:p>
        </w:tc>
        <w:tc>
          <w:tcPr>
            <w:tcW w:w="1236" w:type="dxa"/>
            <w:tcBorders>
              <w:top w:val="single" w:sz="4" w:space="0" w:color="auto"/>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single" w:sz="4" w:space="0" w:color="auto"/>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xml:space="preserve">Equity quota </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xml:space="preserve">Equity  </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24.454</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4</w:t>
            </w:r>
          </w:p>
        </w:tc>
        <w:tc>
          <w:tcPr>
            <w:tcW w:w="2888"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Finanziamento</w:t>
            </w:r>
          </w:p>
        </w:tc>
        <w:tc>
          <w:tcPr>
            <w:tcW w:w="113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97.817</w:t>
            </w:r>
          </w:p>
        </w:tc>
        <w:tc>
          <w:tcPr>
            <w:tcW w:w="755"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w:t>
            </w:r>
          </w:p>
        </w:tc>
        <w:tc>
          <w:tcPr>
            <w:tcW w:w="1708" w:type="dxa"/>
            <w:tcBorders>
              <w:top w:val="nil"/>
              <w:left w:val="nil"/>
              <w:bottom w:val="single" w:sz="4"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5</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Ricavi di progetto</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38.861</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6</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Costi</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-5.672</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7</w:t>
            </w:r>
          </w:p>
        </w:tc>
        <w:tc>
          <w:tcPr>
            <w:tcW w:w="2888"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Rata finanziamento</w:t>
            </w:r>
          </w:p>
        </w:tc>
        <w:tc>
          <w:tcPr>
            <w:tcW w:w="113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-7.849</w:t>
            </w:r>
          </w:p>
        </w:tc>
        <w:tc>
          <w:tcPr>
            <w:tcW w:w="755"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981"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77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c>
          <w:tcPr>
            <w:tcW w:w="1236" w:type="dxa"/>
            <w:tcBorders>
              <w:top w:val="nil"/>
              <w:left w:val="nil"/>
              <w:bottom w:val="single" w:sz="4"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Euro/a</w:t>
            </w:r>
          </w:p>
        </w:tc>
        <w:tc>
          <w:tcPr>
            <w:tcW w:w="1708" w:type="dxa"/>
            <w:tcBorders>
              <w:top w:val="nil"/>
              <w:left w:val="nil"/>
              <w:bottom w:val="single" w:sz="4" w:space="0" w:color="auto"/>
              <w:right w:val="single" w:sz="8" w:space="0" w:color="auto"/>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 </w:t>
            </w:r>
          </w:p>
        </w:tc>
      </w:tr>
      <w:tr w:rsidR="00BA24E0" w:rsidRPr="00430869">
        <w:trPr>
          <w:trHeight w:val="225"/>
        </w:trPr>
        <w:tc>
          <w:tcPr>
            <w:tcW w:w="120" w:type="dxa"/>
            <w:tcBorders>
              <w:top w:val="nil"/>
              <w:left w:val="single" w:sz="8" w:space="0" w:color="auto"/>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8</w:t>
            </w:r>
          </w:p>
        </w:tc>
        <w:tc>
          <w:tcPr>
            <w:tcW w:w="2888"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Avanzo di cassa</w:t>
            </w:r>
          </w:p>
        </w:tc>
        <w:tc>
          <w:tcPr>
            <w:tcW w:w="113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25.340</w:t>
            </w:r>
          </w:p>
        </w:tc>
        <w:tc>
          <w:tcPr>
            <w:tcW w:w="755"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c>
          <w:tcPr>
            <w:tcW w:w="981"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c>
          <w:tcPr>
            <w:tcW w:w="77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p>
        </w:tc>
        <w:tc>
          <w:tcPr>
            <w:tcW w:w="1236" w:type="dxa"/>
            <w:tcBorders>
              <w:top w:val="nil"/>
              <w:left w:val="nil"/>
              <w:bottom w:val="nil"/>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Euro/a</w:t>
            </w:r>
          </w:p>
        </w:tc>
        <w:tc>
          <w:tcPr>
            <w:tcW w:w="1708" w:type="dxa"/>
            <w:tcBorders>
              <w:top w:val="nil"/>
              <w:left w:val="nil"/>
              <w:bottom w:val="nil"/>
              <w:right w:val="single" w:sz="8" w:space="0" w:color="auto"/>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w:t>
            </w:r>
          </w:p>
        </w:tc>
      </w:tr>
      <w:tr w:rsidR="00BA24E0" w:rsidRPr="00430869">
        <w:trPr>
          <w:trHeight w:val="240"/>
        </w:trPr>
        <w:tc>
          <w:tcPr>
            <w:tcW w:w="120" w:type="dxa"/>
            <w:tcBorders>
              <w:top w:val="nil"/>
              <w:left w:val="single" w:sz="8" w:space="0" w:color="auto"/>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9</w:t>
            </w:r>
          </w:p>
        </w:tc>
        <w:tc>
          <w:tcPr>
            <w:tcW w:w="2888"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lang w:val="en-GB"/>
              </w:rPr>
            </w:pPr>
            <w:r w:rsidRPr="00430869">
              <w:rPr>
                <w:rFonts w:cs="Arial"/>
                <w:b/>
                <w:bCs/>
                <w:sz w:val="16"/>
                <w:szCs w:val="16"/>
                <w:lang w:val="en-GB"/>
              </w:rPr>
              <w:t>PBP (Pay Back Period), anni</w:t>
            </w:r>
          </w:p>
        </w:tc>
        <w:tc>
          <w:tcPr>
            <w:tcW w:w="11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4,83</w:t>
            </w:r>
          </w:p>
        </w:tc>
        <w:tc>
          <w:tcPr>
            <w:tcW w:w="755"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0,97</w:t>
            </w:r>
          </w:p>
        </w:tc>
        <w:tc>
          <w:tcPr>
            <w:tcW w:w="981"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sz w:val="16"/>
                <w:szCs w:val="16"/>
              </w:rPr>
            </w:pPr>
            <w:r w:rsidRPr="00430869">
              <w:rPr>
                <w:rFonts w:cs="Arial"/>
                <w:sz w:val="16"/>
                <w:szCs w:val="16"/>
              </w:rPr>
              <w:t>PBP/Equity</w:t>
            </w:r>
          </w:p>
        </w:tc>
        <w:tc>
          <w:tcPr>
            <w:tcW w:w="77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w:t>
            </w:r>
          </w:p>
        </w:tc>
        <w:tc>
          <w:tcPr>
            <w:tcW w:w="1236" w:type="dxa"/>
            <w:tcBorders>
              <w:top w:val="nil"/>
              <w:left w:val="nil"/>
              <w:bottom w:val="single" w:sz="8" w:space="0" w:color="auto"/>
              <w:right w:val="nil"/>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w:t>
            </w:r>
          </w:p>
        </w:tc>
        <w:tc>
          <w:tcPr>
            <w:tcW w:w="1708" w:type="dxa"/>
            <w:tcBorders>
              <w:top w:val="nil"/>
              <w:left w:val="nil"/>
              <w:bottom w:val="single" w:sz="8" w:space="0" w:color="auto"/>
              <w:right w:val="single" w:sz="8" w:space="0" w:color="auto"/>
            </w:tcBorders>
            <w:shd w:val="clear" w:color="auto" w:fill="auto"/>
            <w:noWrap/>
            <w:vAlign w:val="bottom"/>
          </w:tcPr>
          <w:p w:rsidR="00BA24E0" w:rsidRPr="00430869" w:rsidRDefault="00BA24E0" w:rsidP="00E209C2">
            <w:pPr>
              <w:jc w:val="both"/>
              <w:rPr>
                <w:rFonts w:cs="Arial"/>
                <w:b/>
                <w:bCs/>
                <w:sz w:val="16"/>
                <w:szCs w:val="16"/>
              </w:rPr>
            </w:pPr>
            <w:r w:rsidRPr="00430869">
              <w:rPr>
                <w:rFonts w:cs="Arial"/>
                <w:b/>
                <w:bCs/>
                <w:sz w:val="16"/>
                <w:szCs w:val="16"/>
              </w:rPr>
              <w:t> </w:t>
            </w:r>
          </w:p>
        </w:tc>
      </w:tr>
    </w:tbl>
    <w:p w:rsidR="00BA24E0" w:rsidRDefault="00BA24E0" w:rsidP="00E209C2">
      <w:pPr>
        <w:ind w:left="-180"/>
        <w:jc w:val="both"/>
      </w:pPr>
    </w:p>
    <w:p w:rsidR="00BA24E0" w:rsidRPr="00D8120D" w:rsidRDefault="00BA24E0" w:rsidP="00E209C2">
      <w:pPr>
        <w:jc w:val="both"/>
      </w:pPr>
    </w:p>
    <w:p w:rsidR="00BA24E0" w:rsidRPr="00672313" w:rsidRDefault="00BA24E0" w:rsidP="00E209C2">
      <w:pPr>
        <w:jc w:val="both"/>
      </w:pPr>
    </w:p>
    <w:sectPr w:rsidR="00BA24E0" w:rsidRPr="00672313" w:rsidSect="00886DED">
      <w:headerReference w:type="even" r:id="rId9"/>
      <w:headerReference w:type="default" r:id="rId10"/>
      <w:footerReference w:type="even" r:id="rId11"/>
      <w:footerReference w:type="default" r:id="rId12"/>
      <w:headerReference w:type="first" r:id="rId13"/>
      <w:footerReference w:type="first" r:id="rId14"/>
      <w:pgSz w:w="11906" w:h="16838" w:code="9"/>
      <w:pgMar w:top="289" w:right="746" w:bottom="539" w:left="720" w:header="52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E96" w:rsidRDefault="00394E96">
      <w:r>
        <w:separator/>
      </w:r>
    </w:p>
  </w:endnote>
  <w:endnote w:type="continuationSeparator" w:id="0">
    <w:p w:rsidR="00394E96" w:rsidRDefault="00394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8" w:rsidRDefault="007F502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8" w:rsidRDefault="007F5028" w:rsidP="00BC357C">
    <w:pPr>
      <w:pStyle w:val="Pidipagina"/>
      <w:jc w:val="right"/>
      <w:rPr>
        <w:sz w:val="16"/>
        <w:szCs w:val="16"/>
        <w:u w:val="single"/>
      </w:rPr>
    </w:pPr>
    <w:r>
      <w:rPr>
        <w:sz w:val="16"/>
        <w:szCs w:val="16"/>
      </w:rPr>
      <w:t>©</w:t>
    </w:r>
    <w:r>
      <w:rPr>
        <w:b/>
        <w:sz w:val="16"/>
        <w:szCs w:val="16"/>
      </w:rPr>
      <w:t xml:space="preserve"> Copyright</w:t>
    </w:r>
    <w:r>
      <w:rPr>
        <w:sz w:val="16"/>
        <w:szCs w:val="16"/>
      </w:rPr>
      <w:t xml:space="preserve"> - Il presente documento è da ritenersi </w:t>
    </w:r>
    <w:r>
      <w:rPr>
        <w:sz w:val="16"/>
        <w:szCs w:val="16"/>
        <w:u w:val="single"/>
      </w:rPr>
      <w:t>autentico</w:t>
    </w:r>
    <w:r>
      <w:rPr>
        <w:sz w:val="16"/>
        <w:szCs w:val="16"/>
      </w:rPr>
      <w:t xml:space="preserve">, </w:t>
    </w:r>
    <w:r>
      <w:rPr>
        <w:sz w:val="16"/>
        <w:szCs w:val="16"/>
        <w:u w:val="single"/>
      </w:rPr>
      <w:t>riservato</w:t>
    </w:r>
    <w:r>
      <w:rPr>
        <w:sz w:val="16"/>
        <w:szCs w:val="16"/>
      </w:rPr>
      <w:t xml:space="preserve"> e </w:t>
    </w:r>
    <w:r>
      <w:rPr>
        <w:sz w:val="16"/>
        <w:szCs w:val="16"/>
        <w:u w:val="single"/>
      </w:rPr>
      <w:t>coperto dal diritto sulla proprietà intellettuale</w:t>
    </w:r>
  </w:p>
  <w:p w:rsidR="007F5028" w:rsidRPr="007F6BBC" w:rsidRDefault="007F5028" w:rsidP="00784D40">
    <w:pPr>
      <w:pStyle w:val="Pidipagina"/>
      <w:jc w:val="right"/>
      <w:rPr>
        <w:sz w:val="22"/>
        <w:szCs w:val="22"/>
      </w:rPr>
    </w:pPr>
    <w:r w:rsidRPr="007F6BBC">
      <w:rPr>
        <w:rFonts w:ascii="Calibri" w:hAnsi="Calibri"/>
        <w:sz w:val="22"/>
        <w:szCs w:val="22"/>
      </w:rPr>
      <w:t>02-27078489</w:t>
    </w:r>
    <w:r w:rsidRPr="007F6BBC">
      <w:rPr>
        <w:rFonts w:ascii="Arial" w:hAnsi="Arial" w:cs="Arial"/>
        <w:sz w:val="22"/>
        <w:szCs w:val="22"/>
      </w:rPr>
      <w:t xml:space="preserve">, </w:t>
    </w:r>
    <w:hyperlink r:id="rId1" w:history="1">
      <w:r w:rsidRPr="007F6BBC">
        <w:rPr>
          <w:rStyle w:val="Collegamentoipertestuale"/>
          <w:rFonts w:ascii="Arial" w:hAnsi="Arial" w:cs="Arial"/>
          <w:sz w:val="22"/>
          <w:szCs w:val="22"/>
        </w:rPr>
        <w:t>info@escp.it</w:t>
      </w:r>
    </w:hyperlink>
    <w:r w:rsidRPr="007F6BBC">
      <w:rPr>
        <w:rFonts w:ascii="Arial" w:hAnsi="Arial" w:cs="Arial"/>
        <w:sz w:val="22"/>
        <w:szCs w:val="22"/>
      </w:rPr>
      <w:t xml:space="preserve">, </w:t>
    </w:r>
    <w:hyperlink r:id="rId2" w:history="1">
      <w:r w:rsidRPr="007F6BBC">
        <w:rPr>
          <w:rStyle w:val="Collegamentoipertestuale"/>
          <w:rFonts w:ascii="Arial" w:hAnsi="Arial" w:cs="Arial"/>
          <w:sz w:val="22"/>
          <w:szCs w:val="22"/>
        </w:rPr>
        <w:t>www.escp.it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8" w:rsidRDefault="007F50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E96" w:rsidRDefault="00394E96">
      <w:r>
        <w:separator/>
      </w:r>
    </w:p>
  </w:footnote>
  <w:footnote w:type="continuationSeparator" w:id="0">
    <w:p w:rsidR="00394E96" w:rsidRDefault="00394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8" w:rsidRDefault="007F502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8" w:rsidRDefault="009C7270" w:rsidP="00A355F9">
    <w:pPr>
      <w:rPr>
        <w:b/>
      </w:rPr>
    </w:pPr>
    <w:r>
      <w:rPr>
        <w:b/>
        <w:noProof/>
        <w:sz w:val="52"/>
        <w:szCs w:val="52"/>
      </w:rPr>
      <w:drawing>
        <wp:inline distT="0" distB="0" distL="0" distR="0">
          <wp:extent cx="1143000" cy="730250"/>
          <wp:effectExtent l="19050" t="0" r="0" b="0"/>
          <wp:docPr id="1" name="Immagine 1" descr="ESCP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P_01"/>
                  <pic:cNvPicPr>
                    <a:picLocks noChangeAspect="1" noChangeArrowheads="1"/>
                  </pic:cNvPicPr>
                </pic:nvPicPr>
                <pic:blipFill>
                  <a:blip r:embed="rId1"/>
                  <a:srcRect/>
                  <a:stretch>
                    <a:fillRect/>
                  </a:stretch>
                </pic:blipFill>
                <pic:spPr bwMode="auto">
                  <a:xfrm>
                    <a:off x="0" y="0"/>
                    <a:ext cx="1143000" cy="730250"/>
                  </a:xfrm>
                  <a:prstGeom prst="rect">
                    <a:avLst/>
                  </a:prstGeom>
                  <a:noFill/>
                  <a:ln w="9525">
                    <a:noFill/>
                    <a:miter lim="800000"/>
                    <a:headEnd/>
                    <a:tailEnd/>
                  </a:ln>
                </pic:spPr>
              </pic:pic>
            </a:graphicData>
          </a:graphic>
        </wp:inline>
      </w:drawing>
    </w:r>
    <w:r w:rsidR="007F5028">
      <w:rPr>
        <w:b/>
        <w:sz w:val="52"/>
        <w:szCs w:val="52"/>
      </w:rPr>
      <w:t xml:space="preserve">       </w:t>
    </w:r>
    <w:r w:rsidR="007F5028">
      <w:rPr>
        <w:b/>
        <w:sz w:val="56"/>
        <w:szCs w:val="56"/>
      </w:rPr>
      <w:t>Energy Supply-Chain Plan  Srl</w:t>
    </w:r>
  </w:p>
  <w:p w:rsidR="007F5028" w:rsidRPr="00D064C2" w:rsidRDefault="007F5028" w:rsidP="00D064C2">
    <w:pPr>
      <w:rPr>
        <w:sz w:val="16"/>
        <w:szCs w:val="16"/>
      </w:rPr>
    </w:pPr>
    <w:r w:rsidRPr="00A34DC4">
      <w:rPr>
        <w:b/>
        <w:sz w:val="20"/>
        <w:szCs w:val="20"/>
      </w:rPr>
      <w:t>ESCP Srl</w:t>
    </w:r>
    <w:r w:rsidRPr="00A34DC4">
      <w:rPr>
        <w:b/>
        <w:sz w:val="16"/>
        <w:szCs w:val="16"/>
      </w:rPr>
      <w:t xml:space="preserve"> </w:t>
    </w:r>
    <w:r>
      <w:rPr>
        <w:b/>
        <w:sz w:val="16"/>
        <w:szCs w:val="16"/>
      </w:rPr>
      <w:t xml:space="preserve">- </w:t>
    </w:r>
    <w:r w:rsidRPr="00622706">
      <w:rPr>
        <w:b/>
        <w:sz w:val="16"/>
        <w:szCs w:val="16"/>
      </w:rPr>
      <w:t>Sede Legale: Via Socrate 26</w:t>
    </w:r>
    <w:r>
      <w:rPr>
        <w:b/>
        <w:sz w:val="16"/>
        <w:szCs w:val="16"/>
      </w:rPr>
      <w:t xml:space="preserve"> - </w:t>
    </w:r>
    <w:r w:rsidRPr="00A34DC4">
      <w:rPr>
        <w:b/>
        <w:sz w:val="16"/>
        <w:szCs w:val="16"/>
      </w:rPr>
      <w:t>20128  MILANO</w:t>
    </w:r>
    <w:r>
      <w:rPr>
        <w:b/>
        <w:sz w:val="16"/>
        <w:szCs w:val="16"/>
      </w:rPr>
      <w:t xml:space="preserve">, </w:t>
    </w:r>
    <w:r w:rsidRPr="00A34DC4">
      <w:rPr>
        <w:b/>
        <w:sz w:val="16"/>
        <w:szCs w:val="16"/>
      </w:rPr>
      <w:t>C.F. e P.I.  09168620962</w:t>
    </w:r>
    <w:r>
      <w:rPr>
        <w:b/>
        <w:sz w:val="16"/>
        <w:szCs w:val="16"/>
      </w:rPr>
      <w:t xml:space="preserve">, </w:t>
    </w:r>
    <w:r w:rsidRPr="00A34DC4">
      <w:rPr>
        <w:b/>
        <w:sz w:val="16"/>
        <w:szCs w:val="16"/>
      </w:rPr>
      <w:t>R.E.A  MI – 2073266</w:t>
    </w:r>
    <w:r>
      <w:rPr>
        <w:b/>
        <w:sz w:val="16"/>
        <w:szCs w:val="16"/>
      </w:rPr>
      <w:t xml:space="preserve">, </w:t>
    </w:r>
    <w:r w:rsidRPr="00A34DC4">
      <w:rPr>
        <w:b/>
        <w:sz w:val="16"/>
        <w:szCs w:val="16"/>
      </w:rPr>
      <w:t>Cap</w:t>
    </w:r>
    <w:r>
      <w:rPr>
        <w:b/>
        <w:sz w:val="16"/>
        <w:szCs w:val="16"/>
      </w:rPr>
      <w:t>.S</w:t>
    </w:r>
    <w:r w:rsidRPr="00A34DC4">
      <w:rPr>
        <w:b/>
        <w:sz w:val="16"/>
        <w:szCs w:val="16"/>
      </w:rPr>
      <w:t>oc</w:t>
    </w:r>
    <w:r>
      <w:rPr>
        <w:b/>
        <w:sz w:val="16"/>
        <w:szCs w:val="16"/>
      </w:rPr>
      <w:t xml:space="preserve">. </w:t>
    </w:r>
    <w:r w:rsidRPr="00A34DC4">
      <w:rPr>
        <w:b/>
        <w:sz w:val="16"/>
        <w:szCs w:val="16"/>
      </w:rPr>
      <w:t>€ 10.000,00</w:t>
    </w:r>
    <w:r>
      <w:rPr>
        <w:b/>
        <w:sz w:val="16"/>
        <w:szCs w:val="16"/>
      </w:rPr>
      <w:t xml:space="preserve">, </w:t>
    </w:r>
    <w:r w:rsidRPr="00A34DC4">
      <w:rPr>
        <w:b/>
        <w:sz w:val="16"/>
        <w:szCs w:val="16"/>
      </w:rPr>
      <w:t>Pec: escp@pec.it</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28" w:rsidRDefault="007F50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65D"/>
    <w:multiLevelType w:val="multilevel"/>
    <w:tmpl w:val="5DBC4894"/>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C0553FC"/>
    <w:multiLevelType w:val="hybridMultilevel"/>
    <w:tmpl w:val="61D22C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FD67BD1"/>
    <w:multiLevelType w:val="hybridMultilevel"/>
    <w:tmpl w:val="DF56A466"/>
    <w:lvl w:ilvl="0" w:tplc="B114D848">
      <w:start w:val="4"/>
      <w:numFmt w:val="bullet"/>
      <w:lvlText w:val="-"/>
      <w:lvlJc w:val="left"/>
      <w:pPr>
        <w:tabs>
          <w:tab w:val="num" w:pos="720"/>
        </w:tabs>
        <w:ind w:left="720" w:hanging="360"/>
      </w:pPr>
      <w:rPr>
        <w:rFonts w:ascii="Cambria" w:eastAsia="Times New Roman" w:hAnsi="Cambri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30171F73"/>
    <w:multiLevelType w:val="multilevel"/>
    <w:tmpl w:val="7958C5EC"/>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67F44F0"/>
    <w:multiLevelType w:val="hybridMultilevel"/>
    <w:tmpl w:val="62886D0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67A43F93"/>
    <w:multiLevelType w:val="multilevel"/>
    <w:tmpl w:val="4E28C694"/>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345"/>
        </w:tabs>
        <w:ind w:left="345" w:hanging="360"/>
      </w:pPr>
      <w:rPr>
        <w:rFonts w:hint="default"/>
        <w:b/>
      </w:rPr>
    </w:lvl>
    <w:lvl w:ilvl="2">
      <w:start w:val="1"/>
      <w:numFmt w:val="decimal"/>
      <w:lvlText w:val="%1.%2.%3"/>
      <w:lvlJc w:val="left"/>
      <w:pPr>
        <w:tabs>
          <w:tab w:val="num" w:pos="690"/>
        </w:tabs>
        <w:ind w:left="690" w:hanging="720"/>
      </w:pPr>
      <w:rPr>
        <w:rFonts w:hint="default"/>
        <w:b/>
      </w:rPr>
    </w:lvl>
    <w:lvl w:ilvl="3">
      <w:start w:val="1"/>
      <w:numFmt w:val="decimal"/>
      <w:lvlText w:val="%1.%2.%3.%4"/>
      <w:lvlJc w:val="left"/>
      <w:pPr>
        <w:tabs>
          <w:tab w:val="num" w:pos="675"/>
        </w:tabs>
        <w:ind w:left="675" w:hanging="720"/>
      </w:pPr>
      <w:rPr>
        <w:rFonts w:hint="default"/>
        <w:b/>
      </w:rPr>
    </w:lvl>
    <w:lvl w:ilvl="4">
      <w:start w:val="1"/>
      <w:numFmt w:val="decimal"/>
      <w:lvlText w:val="%1.%2.%3.%4.%5"/>
      <w:lvlJc w:val="left"/>
      <w:pPr>
        <w:tabs>
          <w:tab w:val="num" w:pos="1020"/>
        </w:tabs>
        <w:ind w:left="1020" w:hanging="1080"/>
      </w:pPr>
      <w:rPr>
        <w:rFonts w:hint="default"/>
        <w:b/>
      </w:rPr>
    </w:lvl>
    <w:lvl w:ilvl="5">
      <w:start w:val="1"/>
      <w:numFmt w:val="decimal"/>
      <w:lvlText w:val="%1.%2.%3.%4.%5.%6"/>
      <w:lvlJc w:val="left"/>
      <w:pPr>
        <w:tabs>
          <w:tab w:val="num" w:pos="1005"/>
        </w:tabs>
        <w:ind w:left="1005" w:hanging="1080"/>
      </w:pPr>
      <w:rPr>
        <w:rFonts w:hint="default"/>
        <w:b/>
      </w:rPr>
    </w:lvl>
    <w:lvl w:ilvl="6">
      <w:start w:val="1"/>
      <w:numFmt w:val="decimal"/>
      <w:lvlText w:val="%1.%2.%3.%4.%5.%6.%7"/>
      <w:lvlJc w:val="left"/>
      <w:pPr>
        <w:tabs>
          <w:tab w:val="num" w:pos="1350"/>
        </w:tabs>
        <w:ind w:left="1350" w:hanging="1440"/>
      </w:pPr>
      <w:rPr>
        <w:rFonts w:hint="default"/>
        <w:b/>
      </w:rPr>
    </w:lvl>
    <w:lvl w:ilvl="7">
      <w:start w:val="1"/>
      <w:numFmt w:val="decimal"/>
      <w:lvlText w:val="%1.%2.%3.%4.%5.%6.%7.%8"/>
      <w:lvlJc w:val="left"/>
      <w:pPr>
        <w:tabs>
          <w:tab w:val="num" w:pos="1335"/>
        </w:tabs>
        <w:ind w:left="1335" w:hanging="1440"/>
      </w:pPr>
      <w:rPr>
        <w:rFonts w:hint="default"/>
        <w:b/>
      </w:rPr>
    </w:lvl>
    <w:lvl w:ilvl="8">
      <w:start w:val="1"/>
      <w:numFmt w:val="decimal"/>
      <w:lvlText w:val="%1.%2.%3.%4.%5.%6.%7.%8.%9"/>
      <w:lvlJc w:val="left"/>
      <w:pPr>
        <w:tabs>
          <w:tab w:val="num" w:pos="1320"/>
        </w:tabs>
        <w:ind w:left="1320" w:hanging="1440"/>
      </w:pPr>
      <w:rPr>
        <w:rFonts w:hint="default"/>
        <w:b/>
      </w:rPr>
    </w:lvl>
  </w:abstractNum>
  <w:abstractNum w:abstractNumId="6">
    <w:nsid w:val="744B39AF"/>
    <w:multiLevelType w:val="hybridMultilevel"/>
    <w:tmpl w:val="42CABAA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7AF31213"/>
    <w:multiLevelType w:val="hybridMultilevel"/>
    <w:tmpl w:val="4BEABB00"/>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2"/>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cumentProtection w:edit="readOnly" w:enforcement="0"/>
  <w:defaultTabStop w:val="708"/>
  <w:hyphenationZone w:val="283"/>
  <w:characterSpacingControl w:val="doNotCompress"/>
  <w:hdrShapeDefaults>
    <o:shapedefaults v:ext="edit" spidmax="3074"/>
  </w:hdrShapeDefaults>
  <w:footnotePr>
    <w:footnote w:id="-1"/>
    <w:footnote w:id="0"/>
  </w:footnotePr>
  <w:endnotePr>
    <w:endnote w:id="-1"/>
    <w:endnote w:id="0"/>
  </w:endnotePr>
  <w:compat/>
  <w:rsids>
    <w:rsidRoot w:val="0041774B"/>
    <w:rsid w:val="000058C1"/>
    <w:rsid w:val="000078B1"/>
    <w:rsid w:val="00011983"/>
    <w:rsid w:val="00020A65"/>
    <w:rsid w:val="00023D09"/>
    <w:rsid w:val="0002728A"/>
    <w:rsid w:val="000543C6"/>
    <w:rsid w:val="00064AAF"/>
    <w:rsid w:val="000655B2"/>
    <w:rsid w:val="00074C5E"/>
    <w:rsid w:val="00076594"/>
    <w:rsid w:val="00082D49"/>
    <w:rsid w:val="000A347E"/>
    <w:rsid w:val="000B4AF0"/>
    <w:rsid w:val="000B5E60"/>
    <w:rsid w:val="000B6062"/>
    <w:rsid w:val="000C2495"/>
    <w:rsid w:val="000D17D2"/>
    <w:rsid w:val="000D5833"/>
    <w:rsid w:val="000F1995"/>
    <w:rsid w:val="000F3B9D"/>
    <w:rsid w:val="0010191B"/>
    <w:rsid w:val="0010350F"/>
    <w:rsid w:val="00107A6A"/>
    <w:rsid w:val="00122F17"/>
    <w:rsid w:val="001259E1"/>
    <w:rsid w:val="001322F1"/>
    <w:rsid w:val="0013557E"/>
    <w:rsid w:val="00145733"/>
    <w:rsid w:val="00156F24"/>
    <w:rsid w:val="00161892"/>
    <w:rsid w:val="0016212B"/>
    <w:rsid w:val="001A3284"/>
    <w:rsid w:val="001A708A"/>
    <w:rsid w:val="001B49B4"/>
    <w:rsid w:val="001E474F"/>
    <w:rsid w:val="001E62C0"/>
    <w:rsid w:val="00205687"/>
    <w:rsid w:val="00206DC0"/>
    <w:rsid w:val="002159F9"/>
    <w:rsid w:val="002164BD"/>
    <w:rsid w:val="002246B9"/>
    <w:rsid w:val="00230CD3"/>
    <w:rsid w:val="00235662"/>
    <w:rsid w:val="0023600A"/>
    <w:rsid w:val="002427E5"/>
    <w:rsid w:val="0025055E"/>
    <w:rsid w:val="0027747B"/>
    <w:rsid w:val="00282FE9"/>
    <w:rsid w:val="002843A3"/>
    <w:rsid w:val="0029521B"/>
    <w:rsid w:val="002A0DE0"/>
    <w:rsid w:val="002A64BE"/>
    <w:rsid w:val="002B4E3F"/>
    <w:rsid w:val="002C4C44"/>
    <w:rsid w:val="002D4657"/>
    <w:rsid w:val="002E3DEC"/>
    <w:rsid w:val="002E7ED5"/>
    <w:rsid w:val="00317043"/>
    <w:rsid w:val="00317451"/>
    <w:rsid w:val="0032387B"/>
    <w:rsid w:val="00331E85"/>
    <w:rsid w:val="00332623"/>
    <w:rsid w:val="003420DB"/>
    <w:rsid w:val="00346656"/>
    <w:rsid w:val="00350637"/>
    <w:rsid w:val="003541CF"/>
    <w:rsid w:val="00355397"/>
    <w:rsid w:val="0035610F"/>
    <w:rsid w:val="003571C0"/>
    <w:rsid w:val="00362E71"/>
    <w:rsid w:val="00363067"/>
    <w:rsid w:val="00370C64"/>
    <w:rsid w:val="0037187D"/>
    <w:rsid w:val="003731DD"/>
    <w:rsid w:val="00383B39"/>
    <w:rsid w:val="00390583"/>
    <w:rsid w:val="00390970"/>
    <w:rsid w:val="00393D1B"/>
    <w:rsid w:val="00394E96"/>
    <w:rsid w:val="003A72DF"/>
    <w:rsid w:val="003B5F8A"/>
    <w:rsid w:val="003B6491"/>
    <w:rsid w:val="003C5205"/>
    <w:rsid w:val="003D40CE"/>
    <w:rsid w:val="003E3900"/>
    <w:rsid w:val="003E3E6D"/>
    <w:rsid w:val="003E778D"/>
    <w:rsid w:val="003F01ED"/>
    <w:rsid w:val="00407570"/>
    <w:rsid w:val="00407D09"/>
    <w:rsid w:val="00407EA6"/>
    <w:rsid w:val="0041774B"/>
    <w:rsid w:val="00424976"/>
    <w:rsid w:val="00430F89"/>
    <w:rsid w:val="00431142"/>
    <w:rsid w:val="0043192A"/>
    <w:rsid w:val="00440554"/>
    <w:rsid w:val="00443AC3"/>
    <w:rsid w:val="0044663A"/>
    <w:rsid w:val="00447373"/>
    <w:rsid w:val="00447D6B"/>
    <w:rsid w:val="00450D4A"/>
    <w:rsid w:val="00454513"/>
    <w:rsid w:val="004746D3"/>
    <w:rsid w:val="00481AEA"/>
    <w:rsid w:val="00481DC7"/>
    <w:rsid w:val="00490D32"/>
    <w:rsid w:val="00494DB0"/>
    <w:rsid w:val="004A0FF8"/>
    <w:rsid w:val="004A3741"/>
    <w:rsid w:val="004A3A55"/>
    <w:rsid w:val="004D02D8"/>
    <w:rsid w:val="004E21C2"/>
    <w:rsid w:val="004E342C"/>
    <w:rsid w:val="004F2C02"/>
    <w:rsid w:val="004F612D"/>
    <w:rsid w:val="0050158E"/>
    <w:rsid w:val="005036C6"/>
    <w:rsid w:val="00503B5A"/>
    <w:rsid w:val="00515343"/>
    <w:rsid w:val="005238E6"/>
    <w:rsid w:val="00533035"/>
    <w:rsid w:val="00545535"/>
    <w:rsid w:val="0056277A"/>
    <w:rsid w:val="005642AA"/>
    <w:rsid w:val="00566E1C"/>
    <w:rsid w:val="00574350"/>
    <w:rsid w:val="00584A9D"/>
    <w:rsid w:val="00594466"/>
    <w:rsid w:val="005A2D31"/>
    <w:rsid w:val="005A5443"/>
    <w:rsid w:val="005C20F1"/>
    <w:rsid w:val="005C42CD"/>
    <w:rsid w:val="005D1023"/>
    <w:rsid w:val="005D5197"/>
    <w:rsid w:val="005E0A99"/>
    <w:rsid w:val="005E48D0"/>
    <w:rsid w:val="005E7B8E"/>
    <w:rsid w:val="005F05C6"/>
    <w:rsid w:val="005F2DE5"/>
    <w:rsid w:val="005F7512"/>
    <w:rsid w:val="00600EFF"/>
    <w:rsid w:val="00602B25"/>
    <w:rsid w:val="00604400"/>
    <w:rsid w:val="00606EEA"/>
    <w:rsid w:val="00622706"/>
    <w:rsid w:val="0062667A"/>
    <w:rsid w:val="00626C55"/>
    <w:rsid w:val="00631947"/>
    <w:rsid w:val="0064122F"/>
    <w:rsid w:val="006555C2"/>
    <w:rsid w:val="00667F08"/>
    <w:rsid w:val="00672313"/>
    <w:rsid w:val="00677009"/>
    <w:rsid w:val="00693FAE"/>
    <w:rsid w:val="006C2C6D"/>
    <w:rsid w:val="006C3535"/>
    <w:rsid w:val="006C7E5A"/>
    <w:rsid w:val="006D5D61"/>
    <w:rsid w:val="006D68E2"/>
    <w:rsid w:val="006E6CC5"/>
    <w:rsid w:val="00703349"/>
    <w:rsid w:val="00705565"/>
    <w:rsid w:val="007106DB"/>
    <w:rsid w:val="007119B6"/>
    <w:rsid w:val="0071204A"/>
    <w:rsid w:val="00712414"/>
    <w:rsid w:val="00713952"/>
    <w:rsid w:val="007161CC"/>
    <w:rsid w:val="00722794"/>
    <w:rsid w:val="007317E5"/>
    <w:rsid w:val="0073621D"/>
    <w:rsid w:val="007377AC"/>
    <w:rsid w:val="0074403F"/>
    <w:rsid w:val="00745F4F"/>
    <w:rsid w:val="00750372"/>
    <w:rsid w:val="00750BB8"/>
    <w:rsid w:val="00760A73"/>
    <w:rsid w:val="00784D40"/>
    <w:rsid w:val="007924EC"/>
    <w:rsid w:val="00792FE1"/>
    <w:rsid w:val="0079731F"/>
    <w:rsid w:val="007A1478"/>
    <w:rsid w:val="007A2301"/>
    <w:rsid w:val="007B6923"/>
    <w:rsid w:val="007C4C42"/>
    <w:rsid w:val="007D2571"/>
    <w:rsid w:val="007D56C6"/>
    <w:rsid w:val="007F5028"/>
    <w:rsid w:val="007F6BBC"/>
    <w:rsid w:val="00803A72"/>
    <w:rsid w:val="00807F23"/>
    <w:rsid w:val="00817B33"/>
    <w:rsid w:val="00827A9B"/>
    <w:rsid w:val="00830CD6"/>
    <w:rsid w:val="00830DCB"/>
    <w:rsid w:val="008425E6"/>
    <w:rsid w:val="00850409"/>
    <w:rsid w:val="008526E5"/>
    <w:rsid w:val="0085304F"/>
    <w:rsid w:val="00857EEB"/>
    <w:rsid w:val="0087157B"/>
    <w:rsid w:val="008760EA"/>
    <w:rsid w:val="00886DED"/>
    <w:rsid w:val="008A369B"/>
    <w:rsid w:val="008A3974"/>
    <w:rsid w:val="008A5C85"/>
    <w:rsid w:val="008B0FFA"/>
    <w:rsid w:val="008C447A"/>
    <w:rsid w:val="008D2880"/>
    <w:rsid w:val="008E163F"/>
    <w:rsid w:val="008E722F"/>
    <w:rsid w:val="008F4C8A"/>
    <w:rsid w:val="008F655E"/>
    <w:rsid w:val="008F7E48"/>
    <w:rsid w:val="00905F94"/>
    <w:rsid w:val="009162CB"/>
    <w:rsid w:val="0091714C"/>
    <w:rsid w:val="009179C6"/>
    <w:rsid w:val="00920940"/>
    <w:rsid w:val="00926EBB"/>
    <w:rsid w:val="009272C6"/>
    <w:rsid w:val="009278A5"/>
    <w:rsid w:val="009461B4"/>
    <w:rsid w:val="00962D49"/>
    <w:rsid w:val="00966466"/>
    <w:rsid w:val="00980425"/>
    <w:rsid w:val="00982E7D"/>
    <w:rsid w:val="009874D8"/>
    <w:rsid w:val="009A353F"/>
    <w:rsid w:val="009A57AE"/>
    <w:rsid w:val="009B5571"/>
    <w:rsid w:val="009C53DC"/>
    <w:rsid w:val="009C7270"/>
    <w:rsid w:val="009C7437"/>
    <w:rsid w:val="009C7AF7"/>
    <w:rsid w:val="009D6E9D"/>
    <w:rsid w:val="009E0FFD"/>
    <w:rsid w:val="009E4903"/>
    <w:rsid w:val="00A02818"/>
    <w:rsid w:val="00A05F23"/>
    <w:rsid w:val="00A06A5E"/>
    <w:rsid w:val="00A164B6"/>
    <w:rsid w:val="00A3374C"/>
    <w:rsid w:val="00A34DC4"/>
    <w:rsid w:val="00A355F9"/>
    <w:rsid w:val="00A46944"/>
    <w:rsid w:val="00A57BC1"/>
    <w:rsid w:val="00A607FE"/>
    <w:rsid w:val="00A76B10"/>
    <w:rsid w:val="00AA468A"/>
    <w:rsid w:val="00AA6277"/>
    <w:rsid w:val="00AA76C3"/>
    <w:rsid w:val="00AB346B"/>
    <w:rsid w:val="00AB3570"/>
    <w:rsid w:val="00AB4451"/>
    <w:rsid w:val="00AD5778"/>
    <w:rsid w:val="00AD6882"/>
    <w:rsid w:val="00AE3D87"/>
    <w:rsid w:val="00AE5987"/>
    <w:rsid w:val="00B06A84"/>
    <w:rsid w:val="00B079C9"/>
    <w:rsid w:val="00B1026B"/>
    <w:rsid w:val="00B146C6"/>
    <w:rsid w:val="00B16463"/>
    <w:rsid w:val="00B251ED"/>
    <w:rsid w:val="00B2779A"/>
    <w:rsid w:val="00B54409"/>
    <w:rsid w:val="00B57320"/>
    <w:rsid w:val="00B57EB6"/>
    <w:rsid w:val="00B60830"/>
    <w:rsid w:val="00B624C1"/>
    <w:rsid w:val="00B62AF9"/>
    <w:rsid w:val="00B71927"/>
    <w:rsid w:val="00B73043"/>
    <w:rsid w:val="00B86C64"/>
    <w:rsid w:val="00BA24E0"/>
    <w:rsid w:val="00BB64B0"/>
    <w:rsid w:val="00BC357C"/>
    <w:rsid w:val="00BC432B"/>
    <w:rsid w:val="00BD45FB"/>
    <w:rsid w:val="00BE5461"/>
    <w:rsid w:val="00BF1B34"/>
    <w:rsid w:val="00BF6216"/>
    <w:rsid w:val="00C140F0"/>
    <w:rsid w:val="00C172F2"/>
    <w:rsid w:val="00C2233F"/>
    <w:rsid w:val="00C4059D"/>
    <w:rsid w:val="00C440D2"/>
    <w:rsid w:val="00C465BA"/>
    <w:rsid w:val="00C47AD8"/>
    <w:rsid w:val="00C51AAB"/>
    <w:rsid w:val="00C537B2"/>
    <w:rsid w:val="00C74EBF"/>
    <w:rsid w:val="00C82BC7"/>
    <w:rsid w:val="00C844A5"/>
    <w:rsid w:val="00CA061C"/>
    <w:rsid w:val="00CA35D9"/>
    <w:rsid w:val="00CA460D"/>
    <w:rsid w:val="00CB5631"/>
    <w:rsid w:val="00CB7D63"/>
    <w:rsid w:val="00CC0813"/>
    <w:rsid w:val="00CC6F1B"/>
    <w:rsid w:val="00CD4B53"/>
    <w:rsid w:val="00D064C2"/>
    <w:rsid w:val="00D16FD5"/>
    <w:rsid w:val="00D20742"/>
    <w:rsid w:val="00D2185C"/>
    <w:rsid w:val="00D27A1E"/>
    <w:rsid w:val="00D35CC9"/>
    <w:rsid w:val="00D51898"/>
    <w:rsid w:val="00D52875"/>
    <w:rsid w:val="00D550F6"/>
    <w:rsid w:val="00D62B34"/>
    <w:rsid w:val="00D741AC"/>
    <w:rsid w:val="00D819B8"/>
    <w:rsid w:val="00DA592B"/>
    <w:rsid w:val="00DB1B03"/>
    <w:rsid w:val="00DB2D34"/>
    <w:rsid w:val="00DB41D5"/>
    <w:rsid w:val="00DD6B0E"/>
    <w:rsid w:val="00DE57F9"/>
    <w:rsid w:val="00DF4BB7"/>
    <w:rsid w:val="00E00838"/>
    <w:rsid w:val="00E04B16"/>
    <w:rsid w:val="00E133C6"/>
    <w:rsid w:val="00E209C2"/>
    <w:rsid w:val="00E22257"/>
    <w:rsid w:val="00E25808"/>
    <w:rsid w:val="00E351BD"/>
    <w:rsid w:val="00E40FD3"/>
    <w:rsid w:val="00E429A1"/>
    <w:rsid w:val="00E57DB2"/>
    <w:rsid w:val="00E67ECA"/>
    <w:rsid w:val="00E74E59"/>
    <w:rsid w:val="00E8235B"/>
    <w:rsid w:val="00E84F1B"/>
    <w:rsid w:val="00E93133"/>
    <w:rsid w:val="00EB0502"/>
    <w:rsid w:val="00EC54C4"/>
    <w:rsid w:val="00ED1C90"/>
    <w:rsid w:val="00ED59E5"/>
    <w:rsid w:val="00EE15A8"/>
    <w:rsid w:val="00EE4DA7"/>
    <w:rsid w:val="00EE50CB"/>
    <w:rsid w:val="00EF52B8"/>
    <w:rsid w:val="00F05FF2"/>
    <w:rsid w:val="00F06042"/>
    <w:rsid w:val="00F223BB"/>
    <w:rsid w:val="00F24353"/>
    <w:rsid w:val="00F25C5D"/>
    <w:rsid w:val="00F366BC"/>
    <w:rsid w:val="00F422E7"/>
    <w:rsid w:val="00F519C9"/>
    <w:rsid w:val="00F65544"/>
    <w:rsid w:val="00F66A47"/>
    <w:rsid w:val="00F72390"/>
    <w:rsid w:val="00F7437C"/>
    <w:rsid w:val="00F74BBD"/>
    <w:rsid w:val="00F7596D"/>
    <w:rsid w:val="00F95927"/>
    <w:rsid w:val="00FA5585"/>
    <w:rsid w:val="00FA7016"/>
    <w:rsid w:val="00FA7F83"/>
    <w:rsid w:val="00FB0000"/>
    <w:rsid w:val="00FC0416"/>
    <w:rsid w:val="00FD7B38"/>
    <w:rsid w:val="00FE6960"/>
    <w:rsid w:val="00FE6F1E"/>
    <w:rsid w:val="00FF59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D02D8"/>
    <w:rPr>
      <w:sz w:val="24"/>
      <w:szCs w:val="24"/>
    </w:rPr>
  </w:style>
  <w:style w:type="paragraph" w:styleId="Titolo2">
    <w:name w:val="heading 2"/>
    <w:basedOn w:val="Normale"/>
    <w:next w:val="Normale"/>
    <w:qFormat/>
    <w:rsid w:val="002A64BE"/>
    <w:pPr>
      <w:keepNext/>
      <w:suppressAutoHyphens/>
      <w:outlineLvl w:val="1"/>
    </w:pPr>
    <w:rPr>
      <w:rFonts w:ascii="Tahoma" w:hAnsi="Tahom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dichiusura">
    <w:name w:val="endnote text"/>
    <w:basedOn w:val="Normale"/>
    <w:semiHidden/>
    <w:rsid w:val="00B71927"/>
    <w:rPr>
      <w:sz w:val="20"/>
      <w:szCs w:val="20"/>
    </w:rPr>
  </w:style>
  <w:style w:type="character" w:styleId="Rimandonotadichiusura">
    <w:name w:val="endnote reference"/>
    <w:basedOn w:val="Carpredefinitoparagrafo"/>
    <w:semiHidden/>
    <w:rsid w:val="00B71927"/>
    <w:rPr>
      <w:vertAlign w:val="superscript"/>
    </w:rPr>
  </w:style>
  <w:style w:type="paragraph" w:customStyle="1" w:styleId="NoParagraphStyle">
    <w:name w:val="[No Paragraph Style]"/>
    <w:rsid w:val="00C82BC7"/>
    <w:pPr>
      <w:autoSpaceDE w:val="0"/>
      <w:autoSpaceDN w:val="0"/>
      <w:adjustRightInd w:val="0"/>
      <w:spacing w:line="288" w:lineRule="auto"/>
      <w:textAlignment w:val="center"/>
    </w:pPr>
    <w:rPr>
      <w:color w:val="000000"/>
      <w:sz w:val="24"/>
      <w:szCs w:val="24"/>
      <w:lang w:val="en-US"/>
    </w:rPr>
  </w:style>
  <w:style w:type="paragraph" w:styleId="Testonotaapidipagina">
    <w:name w:val="footnote text"/>
    <w:basedOn w:val="Normale"/>
    <w:semiHidden/>
    <w:rsid w:val="007B6923"/>
    <w:rPr>
      <w:sz w:val="20"/>
      <w:szCs w:val="20"/>
    </w:rPr>
  </w:style>
  <w:style w:type="character" w:styleId="Rimandonotaapidipagina">
    <w:name w:val="footnote reference"/>
    <w:basedOn w:val="Carpredefinitoparagrafo"/>
    <w:semiHidden/>
    <w:rsid w:val="007B6923"/>
    <w:rPr>
      <w:vertAlign w:val="superscript"/>
    </w:rPr>
  </w:style>
  <w:style w:type="paragraph" w:customStyle="1" w:styleId="Stilediparagrafo1">
    <w:name w:val="Stile di paragrafo 1"/>
    <w:basedOn w:val="NoParagraphStyle"/>
    <w:rsid w:val="007B6923"/>
    <w:pPr>
      <w:spacing w:line="240" w:lineRule="atLeast"/>
      <w:jc w:val="both"/>
    </w:pPr>
    <w:rPr>
      <w:rFonts w:ascii="Arial" w:hAnsi="Arial" w:cs="Arial"/>
      <w:sz w:val="20"/>
      <w:szCs w:val="20"/>
      <w:lang w:val="it-IT"/>
    </w:rPr>
  </w:style>
  <w:style w:type="paragraph" w:styleId="Intestazione">
    <w:name w:val="header"/>
    <w:basedOn w:val="Normale"/>
    <w:rsid w:val="007B6923"/>
    <w:pPr>
      <w:tabs>
        <w:tab w:val="center" w:pos="4819"/>
        <w:tab w:val="right" w:pos="9638"/>
      </w:tabs>
    </w:pPr>
  </w:style>
  <w:style w:type="paragraph" w:styleId="Pidipagina">
    <w:name w:val="footer"/>
    <w:basedOn w:val="Normale"/>
    <w:rsid w:val="007B6923"/>
    <w:pPr>
      <w:tabs>
        <w:tab w:val="center" w:pos="4819"/>
        <w:tab w:val="right" w:pos="9638"/>
      </w:tabs>
    </w:pPr>
  </w:style>
  <w:style w:type="table" w:styleId="Grigliatabella">
    <w:name w:val="Table Grid"/>
    <w:basedOn w:val="Tabellanormale"/>
    <w:rsid w:val="00AD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qFormat/>
    <w:rsid w:val="0025055E"/>
    <w:rPr>
      <w:i/>
      <w:iCs/>
    </w:rPr>
  </w:style>
  <w:style w:type="character" w:styleId="Enfasigrassetto">
    <w:name w:val="Strong"/>
    <w:basedOn w:val="Carpredefinitoparagrafo"/>
    <w:qFormat/>
    <w:rsid w:val="00D064C2"/>
    <w:rPr>
      <w:b/>
      <w:bCs w:val="0"/>
    </w:rPr>
  </w:style>
  <w:style w:type="character" w:customStyle="1" w:styleId="google-src-text1">
    <w:name w:val="google-src-text1"/>
    <w:basedOn w:val="Carpredefinitoparagrafo"/>
    <w:rsid w:val="00B62AF9"/>
    <w:rPr>
      <w:vanish/>
      <w:webHidden w:val="0"/>
      <w:specVanish w:val="0"/>
    </w:rPr>
  </w:style>
  <w:style w:type="paragraph" w:styleId="NormaleWeb">
    <w:name w:val="Normal (Web)"/>
    <w:basedOn w:val="Normale"/>
    <w:rsid w:val="00B62AF9"/>
    <w:pPr>
      <w:spacing w:before="100" w:beforeAutospacing="1" w:after="100" w:afterAutospacing="1"/>
    </w:pPr>
  </w:style>
  <w:style w:type="character" w:styleId="Collegamentoipertestuale">
    <w:name w:val="Hyperlink"/>
    <w:basedOn w:val="Carpredefinitoparagrafo"/>
    <w:rsid w:val="00F95927"/>
    <w:rPr>
      <w:color w:val="0000FF"/>
      <w:u w:val="single"/>
    </w:rPr>
  </w:style>
  <w:style w:type="character" w:customStyle="1" w:styleId="longtext">
    <w:name w:val="long_text"/>
    <w:basedOn w:val="Carpredefinitoparagrafo"/>
    <w:rsid w:val="00443AC3"/>
  </w:style>
  <w:style w:type="character" w:customStyle="1" w:styleId="hps">
    <w:name w:val="hps"/>
    <w:basedOn w:val="Carpredefinitoparagrafo"/>
    <w:rsid w:val="006D5D61"/>
  </w:style>
  <w:style w:type="character" w:customStyle="1" w:styleId="hpsatn">
    <w:name w:val="hps&#10;                        atn"/>
    <w:basedOn w:val="Carpredefinitoparagrafo"/>
    <w:rsid w:val="006D5D61"/>
  </w:style>
  <w:style w:type="paragraph" w:customStyle="1" w:styleId="ListParagraph">
    <w:name w:val="List Paragraph"/>
    <w:basedOn w:val="Normale"/>
    <w:rsid w:val="004A0FF8"/>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0542083">
      <w:bodyDiv w:val="1"/>
      <w:marLeft w:val="0"/>
      <w:marRight w:val="0"/>
      <w:marTop w:val="0"/>
      <w:marBottom w:val="0"/>
      <w:divBdr>
        <w:top w:val="none" w:sz="0" w:space="0" w:color="auto"/>
        <w:left w:val="none" w:sz="0" w:space="0" w:color="auto"/>
        <w:bottom w:val="none" w:sz="0" w:space="0" w:color="auto"/>
        <w:right w:val="none" w:sz="0" w:space="0" w:color="auto"/>
      </w:divBdr>
    </w:div>
    <w:div w:id="310521330">
      <w:bodyDiv w:val="1"/>
      <w:marLeft w:val="0"/>
      <w:marRight w:val="0"/>
      <w:marTop w:val="0"/>
      <w:marBottom w:val="0"/>
      <w:divBdr>
        <w:top w:val="none" w:sz="0" w:space="0" w:color="auto"/>
        <w:left w:val="none" w:sz="0" w:space="0" w:color="auto"/>
        <w:bottom w:val="none" w:sz="0" w:space="0" w:color="auto"/>
        <w:right w:val="none" w:sz="0" w:space="0" w:color="auto"/>
      </w:divBdr>
    </w:div>
    <w:div w:id="415170839">
      <w:bodyDiv w:val="1"/>
      <w:marLeft w:val="0"/>
      <w:marRight w:val="0"/>
      <w:marTop w:val="0"/>
      <w:marBottom w:val="0"/>
      <w:divBdr>
        <w:top w:val="none" w:sz="0" w:space="0" w:color="auto"/>
        <w:left w:val="none" w:sz="0" w:space="0" w:color="auto"/>
        <w:bottom w:val="none" w:sz="0" w:space="0" w:color="auto"/>
        <w:right w:val="none" w:sz="0" w:space="0" w:color="auto"/>
      </w:divBdr>
    </w:div>
    <w:div w:id="631987590">
      <w:bodyDiv w:val="1"/>
      <w:marLeft w:val="0"/>
      <w:marRight w:val="0"/>
      <w:marTop w:val="0"/>
      <w:marBottom w:val="0"/>
      <w:divBdr>
        <w:top w:val="none" w:sz="0" w:space="0" w:color="auto"/>
        <w:left w:val="none" w:sz="0" w:space="0" w:color="auto"/>
        <w:bottom w:val="none" w:sz="0" w:space="0" w:color="auto"/>
        <w:right w:val="none" w:sz="0" w:space="0" w:color="auto"/>
      </w:divBdr>
    </w:div>
    <w:div w:id="671029338">
      <w:bodyDiv w:val="1"/>
      <w:marLeft w:val="0"/>
      <w:marRight w:val="0"/>
      <w:marTop w:val="0"/>
      <w:marBottom w:val="0"/>
      <w:divBdr>
        <w:top w:val="none" w:sz="0" w:space="0" w:color="auto"/>
        <w:left w:val="none" w:sz="0" w:space="0" w:color="auto"/>
        <w:bottom w:val="none" w:sz="0" w:space="0" w:color="auto"/>
        <w:right w:val="none" w:sz="0" w:space="0" w:color="auto"/>
      </w:divBdr>
      <w:divsChild>
        <w:div w:id="691339875">
          <w:marLeft w:val="0"/>
          <w:marRight w:val="0"/>
          <w:marTop w:val="0"/>
          <w:marBottom w:val="0"/>
          <w:divBdr>
            <w:top w:val="none" w:sz="0" w:space="0" w:color="auto"/>
            <w:left w:val="none" w:sz="0" w:space="0" w:color="auto"/>
            <w:bottom w:val="none" w:sz="0" w:space="0" w:color="auto"/>
            <w:right w:val="none" w:sz="0" w:space="0" w:color="auto"/>
          </w:divBdr>
        </w:div>
      </w:divsChild>
    </w:div>
    <w:div w:id="1208571910">
      <w:bodyDiv w:val="1"/>
      <w:marLeft w:val="0"/>
      <w:marRight w:val="0"/>
      <w:marTop w:val="0"/>
      <w:marBottom w:val="0"/>
      <w:divBdr>
        <w:top w:val="none" w:sz="0" w:space="0" w:color="auto"/>
        <w:left w:val="none" w:sz="0" w:space="0" w:color="auto"/>
        <w:bottom w:val="none" w:sz="0" w:space="0" w:color="auto"/>
        <w:right w:val="none" w:sz="0" w:space="0" w:color="auto"/>
      </w:divBdr>
    </w:div>
    <w:div w:id="1328904629">
      <w:bodyDiv w:val="1"/>
      <w:marLeft w:val="0"/>
      <w:marRight w:val="0"/>
      <w:marTop w:val="0"/>
      <w:marBottom w:val="0"/>
      <w:divBdr>
        <w:top w:val="none" w:sz="0" w:space="0" w:color="auto"/>
        <w:left w:val="none" w:sz="0" w:space="0" w:color="auto"/>
        <w:bottom w:val="none" w:sz="0" w:space="0" w:color="auto"/>
        <w:right w:val="none" w:sz="0" w:space="0" w:color="auto"/>
      </w:divBdr>
    </w:div>
    <w:div w:id="1844472223">
      <w:bodyDiv w:val="1"/>
      <w:marLeft w:val="0"/>
      <w:marRight w:val="0"/>
      <w:marTop w:val="0"/>
      <w:marBottom w:val="0"/>
      <w:divBdr>
        <w:top w:val="none" w:sz="0" w:space="0" w:color="auto"/>
        <w:left w:val="none" w:sz="0" w:space="0" w:color="auto"/>
        <w:bottom w:val="none" w:sz="0" w:space="0" w:color="auto"/>
        <w:right w:val="none" w:sz="0" w:space="0" w:color="auto"/>
      </w:divBdr>
    </w:div>
    <w:div w:id="1865903495">
      <w:bodyDiv w:val="1"/>
      <w:marLeft w:val="0"/>
      <w:marRight w:val="0"/>
      <w:marTop w:val="0"/>
      <w:marBottom w:val="0"/>
      <w:divBdr>
        <w:top w:val="none" w:sz="0" w:space="0" w:color="auto"/>
        <w:left w:val="none" w:sz="0" w:space="0" w:color="auto"/>
        <w:bottom w:val="none" w:sz="0" w:space="0" w:color="auto"/>
        <w:right w:val="none" w:sz="0" w:space="0" w:color="auto"/>
      </w:divBdr>
    </w:div>
    <w:div w:id="1944073112">
      <w:bodyDiv w:val="1"/>
      <w:marLeft w:val="0"/>
      <w:marRight w:val="0"/>
      <w:marTop w:val="0"/>
      <w:marBottom w:val="0"/>
      <w:divBdr>
        <w:top w:val="none" w:sz="0" w:space="0" w:color="auto"/>
        <w:left w:val="none" w:sz="0" w:space="0" w:color="auto"/>
        <w:bottom w:val="none" w:sz="0" w:space="0" w:color="auto"/>
        <w:right w:val="none" w:sz="0" w:space="0" w:color="auto"/>
      </w:divBdr>
    </w:div>
    <w:div w:id="2053378627">
      <w:bodyDiv w:val="1"/>
      <w:marLeft w:val="0"/>
      <w:marRight w:val="0"/>
      <w:marTop w:val="0"/>
      <w:marBottom w:val="0"/>
      <w:divBdr>
        <w:top w:val="none" w:sz="0" w:space="0" w:color="auto"/>
        <w:left w:val="none" w:sz="0" w:space="0" w:color="auto"/>
        <w:bottom w:val="none" w:sz="0" w:space="0" w:color="auto"/>
        <w:right w:val="none" w:sz="0" w:space="0" w:color="auto"/>
      </w:divBdr>
      <w:divsChild>
        <w:div w:id="505706557">
          <w:marLeft w:val="0"/>
          <w:marRight w:val="0"/>
          <w:marTop w:val="0"/>
          <w:marBottom w:val="0"/>
          <w:divBdr>
            <w:top w:val="none" w:sz="0" w:space="0" w:color="auto"/>
            <w:left w:val="none" w:sz="0" w:space="0" w:color="auto"/>
            <w:bottom w:val="none" w:sz="0" w:space="0" w:color="auto"/>
            <w:right w:val="none" w:sz="0" w:space="0" w:color="auto"/>
          </w:divBdr>
        </w:div>
      </w:divsChild>
    </w:div>
    <w:div w:id="20868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reatecnica@esc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escp.it" TargetMode="External"/><Relationship Id="rId1" Type="http://schemas.openxmlformats.org/officeDocument/2006/relationships/hyperlink" Target="mailto:info@esc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3310</Words>
  <Characters>18871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Milano 10</vt:lpstr>
    </vt:vector>
  </TitlesOfParts>
  <Company/>
  <LinksUpToDate>false</LinksUpToDate>
  <CharactersWithSpaces>22137</CharactersWithSpaces>
  <SharedDoc>false</SharedDoc>
  <HLinks>
    <vt:vector size="24" baseType="variant">
      <vt:variant>
        <vt:i4>7798842</vt:i4>
      </vt:variant>
      <vt:variant>
        <vt:i4>3</vt:i4>
      </vt:variant>
      <vt:variant>
        <vt:i4>0</vt:i4>
      </vt:variant>
      <vt:variant>
        <vt:i4>5</vt:i4>
      </vt:variant>
      <vt:variant>
        <vt:lpwstr>http://www.escp.it/</vt:lpwstr>
      </vt:variant>
      <vt:variant>
        <vt:lpwstr/>
      </vt:variant>
      <vt:variant>
        <vt:i4>2424859</vt:i4>
      </vt:variant>
      <vt:variant>
        <vt:i4>0</vt:i4>
      </vt:variant>
      <vt:variant>
        <vt:i4>0</vt:i4>
      </vt:variant>
      <vt:variant>
        <vt:i4>5</vt:i4>
      </vt:variant>
      <vt:variant>
        <vt:lpwstr>mailto:areatecnica@escp.it</vt:lpwstr>
      </vt:variant>
      <vt:variant>
        <vt:lpwstr/>
      </vt:variant>
      <vt:variant>
        <vt:i4>7798842</vt:i4>
      </vt:variant>
      <vt:variant>
        <vt:i4>3</vt:i4>
      </vt:variant>
      <vt:variant>
        <vt:i4>0</vt:i4>
      </vt:variant>
      <vt:variant>
        <vt:i4>5</vt:i4>
      </vt:variant>
      <vt:variant>
        <vt:lpwstr>http://www.escp.it/</vt:lpwstr>
      </vt:variant>
      <vt:variant>
        <vt:lpwstr/>
      </vt:variant>
      <vt:variant>
        <vt:i4>4653155</vt:i4>
      </vt:variant>
      <vt:variant>
        <vt:i4>0</vt:i4>
      </vt:variant>
      <vt:variant>
        <vt:i4>0</vt:i4>
      </vt:variant>
      <vt:variant>
        <vt:i4>5</vt:i4>
      </vt:variant>
      <vt:variant>
        <vt:lpwstr>mailto:info@escp.it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creator>SALVATORE</dc:creator>
  <cp:lastModifiedBy>marta</cp:lastModifiedBy>
  <cp:revision>2</cp:revision>
  <cp:lastPrinted>2015-09-01T10:58:00Z</cp:lastPrinted>
  <dcterms:created xsi:type="dcterms:W3CDTF">2015-09-01T10:59:00Z</dcterms:created>
  <dcterms:modified xsi:type="dcterms:W3CDTF">2015-09-01T10:59:00Z</dcterms:modified>
</cp:coreProperties>
</file>